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ECC2" w14:textId="50DB0774" w:rsidR="00125F1F" w:rsidRDefault="00125F1F" w:rsidP="00125F1F">
      <w:pPr>
        <w:shd w:val="clear" w:color="auto" w:fill="FFFFFF" w:themeFill="background1"/>
        <w:rPr>
          <w:b/>
          <w:sz w:val="32"/>
          <w:szCs w:val="32"/>
        </w:rPr>
      </w:pPr>
      <w:r>
        <w:rPr>
          <w:b/>
          <w:sz w:val="32"/>
          <w:szCs w:val="32"/>
        </w:rPr>
        <w:t>KYLE OF SUTHERLAND DISTRICT SALMON FISHERY BOARD TRUST</w:t>
      </w:r>
    </w:p>
    <w:p w14:paraId="22F5BBCE" w14:textId="77777777" w:rsidR="00125F1F" w:rsidRDefault="00125F1F" w:rsidP="00125F1F">
      <w:pPr>
        <w:shd w:val="clear" w:color="auto" w:fill="FFFFFF" w:themeFill="background1"/>
        <w:rPr>
          <w:b/>
          <w:sz w:val="32"/>
          <w:szCs w:val="32"/>
        </w:rPr>
      </w:pPr>
    </w:p>
    <w:p w14:paraId="4832A461" w14:textId="4E404A47" w:rsidR="00125F1F" w:rsidRDefault="00125F1F" w:rsidP="00125F1F">
      <w:pPr>
        <w:shd w:val="clear" w:color="auto" w:fill="B8CCE4" w:themeFill="accent1" w:themeFillTint="66"/>
        <w:rPr>
          <w:b/>
          <w:sz w:val="32"/>
          <w:szCs w:val="32"/>
        </w:rPr>
      </w:pPr>
      <w:r w:rsidRPr="00633C1A">
        <w:rPr>
          <w:b/>
          <w:sz w:val="32"/>
          <w:szCs w:val="32"/>
        </w:rPr>
        <w:t xml:space="preserve">MEETING TITLE: </w:t>
      </w:r>
      <w:r>
        <w:rPr>
          <w:b/>
          <w:sz w:val="32"/>
          <w:szCs w:val="32"/>
        </w:rPr>
        <w:t>ANNUAL MEETING OF QUALIFIED PROPRIETORS</w:t>
      </w:r>
    </w:p>
    <w:p w14:paraId="59D8EF35" w14:textId="6E1B7844" w:rsidR="00125F1F" w:rsidRDefault="00125F1F" w:rsidP="00125F1F">
      <w:pPr>
        <w:rPr>
          <w:b/>
          <w:sz w:val="28"/>
          <w:szCs w:val="28"/>
        </w:rPr>
      </w:pPr>
    </w:p>
    <w:p w14:paraId="725DB984" w14:textId="0174A251" w:rsidR="00125F1F" w:rsidRDefault="00125F1F" w:rsidP="00125F1F">
      <w:pPr>
        <w:rPr>
          <w:b/>
          <w:sz w:val="28"/>
          <w:szCs w:val="28"/>
        </w:rPr>
      </w:pPr>
      <w:r w:rsidRPr="00B72024">
        <w:rPr>
          <w:noProof/>
          <w:sz w:val="28"/>
          <w:szCs w:val="28"/>
          <w:lang w:eastAsia="en-GB"/>
        </w:rPr>
        <w:drawing>
          <wp:anchor distT="0" distB="0" distL="114300" distR="114300" simplePos="0" relativeHeight="251660288" behindDoc="0" locked="0" layoutInCell="1" allowOverlap="1" wp14:anchorId="200B4650" wp14:editId="7B33B5D5">
            <wp:simplePos x="0" y="0"/>
            <wp:positionH relativeFrom="column">
              <wp:posOffset>4514850</wp:posOffset>
            </wp:positionH>
            <wp:positionV relativeFrom="paragraph">
              <wp:posOffset>11430</wp:posOffset>
            </wp:positionV>
            <wp:extent cx="898361" cy="1019175"/>
            <wp:effectExtent l="0" t="0" r="0" b="0"/>
            <wp:wrapNone/>
            <wp:docPr id="2" name="Picture 2" descr="C:\Users\ksft\Pictures\Kyle Fisherie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ft\Pictures\Kyle Fisheries_logo-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147"/>
                    <a:stretch/>
                  </pic:blipFill>
                  <pic:spPr bwMode="auto">
                    <a:xfrm>
                      <a:off x="0" y="0"/>
                      <a:ext cx="898361"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Date:</w:t>
      </w:r>
      <w:r>
        <w:rPr>
          <w:b/>
          <w:sz w:val="28"/>
          <w:szCs w:val="28"/>
        </w:rPr>
        <w:tab/>
      </w:r>
      <w:r>
        <w:rPr>
          <w:b/>
          <w:sz w:val="28"/>
          <w:szCs w:val="28"/>
        </w:rPr>
        <w:tab/>
        <w:t>Friday 27th September 2019</w:t>
      </w:r>
    </w:p>
    <w:p w14:paraId="10A2E10F" w14:textId="79587EA9" w:rsidR="00125F1F" w:rsidRDefault="00125F1F" w:rsidP="00125F1F">
      <w:pPr>
        <w:rPr>
          <w:b/>
          <w:sz w:val="28"/>
          <w:szCs w:val="28"/>
        </w:rPr>
      </w:pPr>
      <w:r>
        <w:rPr>
          <w:b/>
          <w:sz w:val="28"/>
          <w:szCs w:val="28"/>
        </w:rPr>
        <w:t>Time:</w:t>
      </w:r>
      <w:r>
        <w:rPr>
          <w:b/>
          <w:sz w:val="28"/>
          <w:szCs w:val="28"/>
        </w:rPr>
        <w:tab/>
      </w:r>
      <w:r>
        <w:rPr>
          <w:b/>
          <w:sz w:val="28"/>
          <w:szCs w:val="28"/>
        </w:rPr>
        <w:tab/>
        <w:t>9.30am</w:t>
      </w:r>
    </w:p>
    <w:p w14:paraId="53A0C9B3" w14:textId="77777777" w:rsidR="00125F1F" w:rsidRDefault="00125F1F" w:rsidP="00125F1F">
      <w:pPr>
        <w:rPr>
          <w:b/>
          <w:sz w:val="28"/>
          <w:szCs w:val="28"/>
        </w:rPr>
      </w:pPr>
      <w:r>
        <w:rPr>
          <w:b/>
          <w:sz w:val="28"/>
          <w:szCs w:val="28"/>
        </w:rPr>
        <w:t>Place:</w:t>
      </w:r>
      <w:r>
        <w:rPr>
          <w:b/>
          <w:sz w:val="28"/>
          <w:szCs w:val="28"/>
        </w:rPr>
        <w:tab/>
        <w:t>Kyle Fisheries Office, Ardgay</w:t>
      </w:r>
    </w:p>
    <w:p w14:paraId="5A66BC48" w14:textId="77777777" w:rsidR="00125F1F" w:rsidRDefault="00125F1F" w:rsidP="00125F1F">
      <w:pPr>
        <w:rPr>
          <w:b/>
          <w:sz w:val="28"/>
          <w:szCs w:val="28"/>
        </w:rPr>
      </w:pPr>
    </w:p>
    <w:p w14:paraId="3251F158" w14:textId="77777777" w:rsidR="00125F1F" w:rsidRDefault="00125F1F" w:rsidP="00125F1F">
      <w:pPr>
        <w:rPr>
          <w:b/>
          <w:sz w:val="28"/>
          <w:szCs w:val="28"/>
        </w:rPr>
      </w:pPr>
      <w:r>
        <w:rPr>
          <w:b/>
          <w:sz w:val="28"/>
          <w:szCs w:val="28"/>
        </w:rPr>
        <w:t xml:space="preserve">MEETING MINUTES </w:t>
      </w:r>
      <w:r w:rsidRPr="00367E1F">
        <w:rPr>
          <w:i/>
          <w:sz w:val="28"/>
          <w:szCs w:val="28"/>
        </w:rPr>
        <w:t xml:space="preserve">(Draft) </w:t>
      </w:r>
    </w:p>
    <w:p w14:paraId="0CA498FC" w14:textId="77777777" w:rsidR="00125F1F" w:rsidRDefault="00125F1F" w:rsidP="00125F1F">
      <w:pPr>
        <w:rPr>
          <w:b/>
          <w:sz w:val="28"/>
          <w:szCs w:val="28"/>
        </w:rPr>
      </w:pPr>
    </w:p>
    <w:p w14:paraId="218DB11F" w14:textId="77777777" w:rsidR="00125F1F" w:rsidRDefault="00125F1F" w:rsidP="00125F1F">
      <w:pPr>
        <w:rPr>
          <w:b/>
          <w:sz w:val="28"/>
          <w:szCs w:val="28"/>
        </w:rPr>
      </w:pPr>
      <w:r>
        <w:rPr>
          <w:b/>
          <w:sz w:val="28"/>
          <w:szCs w:val="28"/>
        </w:rPr>
        <w:t xml:space="preserve">Chair: </w:t>
      </w:r>
      <w:r>
        <w:rPr>
          <w:b/>
          <w:sz w:val="28"/>
          <w:szCs w:val="28"/>
        </w:rPr>
        <w:tab/>
      </w:r>
      <w:r>
        <w:rPr>
          <w:b/>
          <w:sz w:val="28"/>
          <w:szCs w:val="28"/>
        </w:rPr>
        <w:tab/>
      </w:r>
      <w:r>
        <w:rPr>
          <w:b/>
          <w:sz w:val="28"/>
          <w:szCs w:val="28"/>
        </w:rPr>
        <w:tab/>
        <w:t>Richard Sankey</w:t>
      </w:r>
    </w:p>
    <w:p w14:paraId="53D0C73B" w14:textId="77777777" w:rsidR="00125F1F" w:rsidRDefault="00125F1F" w:rsidP="00125F1F">
      <w:pPr>
        <w:rPr>
          <w:b/>
          <w:sz w:val="28"/>
          <w:szCs w:val="28"/>
        </w:rPr>
      </w:pPr>
      <w:r>
        <w:rPr>
          <w:b/>
          <w:sz w:val="28"/>
          <w:szCs w:val="28"/>
        </w:rPr>
        <w:t>Minute taker:</w:t>
      </w:r>
      <w:r>
        <w:rPr>
          <w:b/>
          <w:sz w:val="28"/>
          <w:szCs w:val="28"/>
        </w:rPr>
        <w:tab/>
      </w:r>
      <w:r>
        <w:rPr>
          <w:b/>
          <w:sz w:val="28"/>
          <w:szCs w:val="28"/>
        </w:rPr>
        <w:tab/>
        <w:t>Jacqui Hamblin</w:t>
      </w:r>
    </w:p>
    <w:p w14:paraId="0B77FB87" w14:textId="77777777" w:rsidR="00125F1F" w:rsidRDefault="00125F1F" w:rsidP="00125F1F">
      <w:pPr>
        <w:rPr>
          <w:b/>
          <w:sz w:val="28"/>
          <w:szCs w:val="28"/>
        </w:rPr>
      </w:pPr>
    </w:p>
    <w:p w14:paraId="14F91C66" w14:textId="77777777" w:rsidR="00125F1F" w:rsidRDefault="00125F1F" w:rsidP="00125F1F">
      <w:pPr>
        <w:rPr>
          <w:b/>
          <w:sz w:val="28"/>
          <w:szCs w:val="28"/>
        </w:rPr>
      </w:pPr>
      <w:r>
        <w:rPr>
          <w:b/>
          <w:sz w:val="28"/>
          <w:szCs w:val="28"/>
        </w:rPr>
        <w:t>In Attendance</w:t>
      </w:r>
    </w:p>
    <w:tbl>
      <w:tblPr>
        <w:tblStyle w:val="TableGrid"/>
        <w:tblW w:w="0" w:type="auto"/>
        <w:tblLook w:val="04A0" w:firstRow="1" w:lastRow="0" w:firstColumn="1" w:lastColumn="0" w:noHBand="0" w:noVBand="1"/>
      </w:tblPr>
      <w:tblGrid>
        <w:gridCol w:w="4508"/>
        <w:gridCol w:w="4508"/>
      </w:tblGrid>
      <w:tr w:rsidR="00125F1F" w14:paraId="3D410428" w14:textId="77777777" w:rsidTr="00042786">
        <w:tc>
          <w:tcPr>
            <w:tcW w:w="4508" w:type="dxa"/>
          </w:tcPr>
          <w:p w14:paraId="33C32AEE" w14:textId="2CC8AA14" w:rsidR="00125F1F" w:rsidRDefault="00125F1F" w:rsidP="00042786">
            <w:pPr>
              <w:rPr>
                <w:b/>
                <w:sz w:val="28"/>
                <w:szCs w:val="28"/>
              </w:rPr>
            </w:pPr>
            <w:r>
              <w:rPr>
                <w:b/>
                <w:sz w:val="28"/>
                <w:szCs w:val="28"/>
              </w:rPr>
              <w:t>Board</w:t>
            </w:r>
          </w:p>
        </w:tc>
        <w:tc>
          <w:tcPr>
            <w:tcW w:w="4508" w:type="dxa"/>
          </w:tcPr>
          <w:p w14:paraId="6152B6F0" w14:textId="77777777" w:rsidR="00125F1F" w:rsidRDefault="00125F1F" w:rsidP="00042786">
            <w:pPr>
              <w:rPr>
                <w:b/>
                <w:sz w:val="28"/>
                <w:szCs w:val="28"/>
              </w:rPr>
            </w:pPr>
            <w:r>
              <w:rPr>
                <w:b/>
                <w:sz w:val="28"/>
                <w:szCs w:val="28"/>
              </w:rPr>
              <w:t>Attending</w:t>
            </w:r>
          </w:p>
        </w:tc>
      </w:tr>
      <w:tr w:rsidR="00125F1F" w14:paraId="4309DEC0" w14:textId="77777777" w:rsidTr="00042786">
        <w:tc>
          <w:tcPr>
            <w:tcW w:w="4508" w:type="dxa"/>
          </w:tcPr>
          <w:p w14:paraId="02494CC0" w14:textId="7BC99C90" w:rsidR="00125F1F" w:rsidRDefault="00125F1F" w:rsidP="00042786">
            <w:pPr>
              <w:tabs>
                <w:tab w:val="center" w:pos="2881"/>
                <w:tab w:val="center" w:pos="3601"/>
                <w:tab w:val="center" w:pos="4321"/>
                <w:tab w:val="center" w:pos="6088"/>
              </w:tabs>
              <w:ind w:left="-15"/>
            </w:pPr>
            <w:r>
              <w:t>Richard Sankey, Chair (</w:t>
            </w:r>
            <w:proofErr w:type="gramStart"/>
            <w:r>
              <w:t xml:space="preserve">RS)   </w:t>
            </w:r>
            <w:proofErr w:type="gramEnd"/>
            <w:r>
              <w:t xml:space="preserve">                                 John Green (JG)</w:t>
            </w:r>
          </w:p>
          <w:p w14:paraId="51120989" w14:textId="53292E87" w:rsidR="00125F1F" w:rsidRDefault="00125F1F" w:rsidP="00042786">
            <w:pPr>
              <w:tabs>
                <w:tab w:val="center" w:pos="2881"/>
                <w:tab w:val="center" w:pos="3601"/>
                <w:tab w:val="center" w:pos="4321"/>
                <w:tab w:val="center" w:pos="6088"/>
              </w:tabs>
              <w:ind w:left="-15"/>
            </w:pPr>
            <w:r>
              <w:t>Alex Hunter (AH)</w:t>
            </w:r>
          </w:p>
          <w:p w14:paraId="66B1E450" w14:textId="77777777" w:rsidR="00125F1F" w:rsidRDefault="00125F1F" w:rsidP="00042786">
            <w:pPr>
              <w:tabs>
                <w:tab w:val="center" w:pos="2881"/>
                <w:tab w:val="center" w:pos="3601"/>
                <w:tab w:val="center" w:pos="4321"/>
                <w:tab w:val="center" w:pos="6088"/>
              </w:tabs>
              <w:ind w:left="-15"/>
            </w:pPr>
            <w:r>
              <w:t>Nicky Griffiths (NG)</w:t>
            </w:r>
          </w:p>
          <w:p w14:paraId="71F9B4F5" w14:textId="77777777" w:rsidR="00125F1F" w:rsidRDefault="00125F1F" w:rsidP="00042786">
            <w:pPr>
              <w:tabs>
                <w:tab w:val="center" w:pos="2881"/>
                <w:tab w:val="center" w:pos="3601"/>
                <w:tab w:val="center" w:pos="4321"/>
                <w:tab w:val="center" w:pos="6088"/>
              </w:tabs>
              <w:ind w:left="-15"/>
            </w:pPr>
            <w:r>
              <w:t>Ashe Windham (AW)</w:t>
            </w:r>
          </w:p>
          <w:p w14:paraId="3C04B7EB" w14:textId="590935C9" w:rsidR="00125F1F" w:rsidRDefault="00125F1F" w:rsidP="00042786">
            <w:pPr>
              <w:tabs>
                <w:tab w:val="center" w:pos="2881"/>
                <w:tab w:val="center" w:pos="3601"/>
                <w:tab w:val="center" w:pos="4321"/>
                <w:tab w:val="center" w:pos="6088"/>
              </w:tabs>
              <w:ind w:left="-15"/>
            </w:pPr>
            <w:r>
              <w:t xml:space="preserve">Robbie Douglas Miller (RDM)       </w:t>
            </w:r>
            <w:r>
              <w:tab/>
              <w:t xml:space="preserve">   </w:t>
            </w:r>
            <w:r>
              <w:tab/>
            </w:r>
          </w:p>
          <w:p w14:paraId="1C10997A" w14:textId="1AB9A830" w:rsidR="00125F1F" w:rsidRDefault="00125F1F" w:rsidP="00042786">
            <w:pPr>
              <w:tabs>
                <w:tab w:val="center" w:pos="2161"/>
                <w:tab w:val="center" w:pos="2881"/>
                <w:tab w:val="center" w:pos="3601"/>
                <w:tab w:val="center" w:pos="4321"/>
                <w:tab w:val="center" w:pos="6515"/>
              </w:tabs>
              <w:ind w:left="-15"/>
            </w:pPr>
            <w:r>
              <w:t xml:space="preserve">                    </w:t>
            </w:r>
          </w:p>
          <w:p w14:paraId="43DC8E66" w14:textId="77777777" w:rsidR="00125F1F" w:rsidRDefault="00125F1F" w:rsidP="00042786">
            <w:pPr>
              <w:rPr>
                <w:b/>
                <w:sz w:val="28"/>
                <w:szCs w:val="28"/>
              </w:rPr>
            </w:pPr>
          </w:p>
        </w:tc>
        <w:tc>
          <w:tcPr>
            <w:tcW w:w="4508" w:type="dxa"/>
          </w:tcPr>
          <w:p w14:paraId="7F4FB7EB" w14:textId="5525755E" w:rsidR="00125F1F" w:rsidRPr="00F54EC0" w:rsidRDefault="00125F1F" w:rsidP="00042786">
            <w:pPr>
              <w:tabs>
                <w:tab w:val="center" w:pos="2881"/>
                <w:tab w:val="center" w:pos="3601"/>
                <w:tab w:val="center" w:pos="4321"/>
                <w:tab w:val="center" w:pos="5972"/>
              </w:tabs>
              <w:ind w:left="-15"/>
              <w:rPr>
                <w:sz w:val="22"/>
                <w:szCs w:val="22"/>
              </w:rPr>
            </w:pPr>
            <w:r w:rsidRPr="00F54EC0">
              <w:rPr>
                <w:sz w:val="22"/>
                <w:szCs w:val="22"/>
              </w:rPr>
              <w:t>Keith Williams</w:t>
            </w:r>
            <w:r>
              <w:rPr>
                <w:sz w:val="22"/>
                <w:szCs w:val="22"/>
              </w:rPr>
              <w:t xml:space="preserve"> (KW) </w:t>
            </w:r>
            <w:r w:rsidRPr="00F54EC0">
              <w:rPr>
                <w:sz w:val="22"/>
                <w:szCs w:val="22"/>
              </w:rPr>
              <w:t>Director</w:t>
            </w:r>
            <w:r>
              <w:rPr>
                <w:sz w:val="22"/>
                <w:szCs w:val="22"/>
              </w:rPr>
              <w:t xml:space="preserve"> (KF)</w:t>
            </w:r>
          </w:p>
          <w:p w14:paraId="11108D50" w14:textId="3657C69E" w:rsidR="00125F1F" w:rsidRPr="00F54EC0" w:rsidRDefault="00125F1F" w:rsidP="00042786">
            <w:pPr>
              <w:tabs>
                <w:tab w:val="center" w:pos="2881"/>
                <w:tab w:val="center" w:pos="3601"/>
                <w:tab w:val="center" w:pos="4321"/>
                <w:tab w:val="center" w:pos="6088"/>
              </w:tabs>
              <w:ind w:left="-15"/>
              <w:rPr>
                <w:sz w:val="22"/>
                <w:szCs w:val="22"/>
              </w:rPr>
            </w:pPr>
            <w:r>
              <w:rPr>
                <w:sz w:val="22"/>
                <w:szCs w:val="22"/>
              </w:rPr>
              <w:t>Steven M</w:t>
            </w:r>
            <w:r w:rsidR="008159E4">
              <w:rPr>
                <w:sz w:val="22"/>
                <w:szCs w:val="22"/>
              </w:rPr>
              <w:t>acKe</w:t>
            </w:r>
            <w:r>
              <w:rPr>
                <w:sz w:val="22"/>
                <w:szCs w:val="22"/>
              </w:rPr>
              <w:t>nzie (SM) (KSFT)</w:t>
            </w:r>
          </w:p>
        </w:tc>
      </w:tr>
      <w:tr w:rsidR="00125F1F" w14:paraId="7DA37E2B" w14:textId="77777777" w:rsidTr="00042786">
        <w:tc>
          <w:tcPr>
            <w:tcW w:w="4508" w:type="dxa"/>
          </w:tcPr>
          <w:p w14:paraId="6CB3376D" w14:textId="77777777" w:rsidR="00125F1F" w:rsidRDefault="00125F1F" w:rsidP="00042786">
            <w:pPr>
              <w:rPr>
                <w:b/>
                <w:sz w:val="28"/>
                <w:szCs w:val="28"/>
              </w:rPr>
            </w:pPr>
            <w:r>
              <w:rPr>
                <w:b/>
                <w:sz w:val="28"/>
                <w:szCs w:val="28"/>
              </w:rPr>
              <w:t>Apologies</w:t>
            </w:r>
          </w:p>
        </w:tc>
        <w:tc>
          <w:tcPr>
            <w:tcW w:w="4508" w:type="dxa"/>
          </w:tcPr>
          <w:p w14:paraId="32623BF9" w14:textId="77777777" w:rsidR="00125F1F" w:rsidRDefault="00125F1F" w:rsidP="00042786">
            <w:pPr>
              <w:rPr>
                <w:b/>
                <w:sz w:val="28"/>
                <w:szCs w:val="28"/>
              </w:rPr>
            </w:pPr>
            <w:r>
              <w:rPr>
                <w:b/>
                <w:sz w:val="28"/>
                <w:szCs w:val="28"/>
              </w:rPr>
              <w:t>Guests</w:t>
            </w:r>
          </w:p>
        </w:tc>
      </w:tr>
      <w:tr w:rsidR="00125F1F" w14:paraId="74594725" w14:textId="77777777" w:rsidTr="00042786">
        <w:tc>
          <w:tcPr>
            <w:tcW w:w="4508" w:type="dxa"/>
          </w:tcPr>
          <w:p w14:paraId="07583A48" w14:textId="3CB56236" w:rsidR="00125F1F" w:rsidRDefault="00125F1F" w:rsidP="00042786">
            <w:pPr>
              <w:ind w:left="-5"/>
            </w:pPr>
            <w:r>
              <w:t>Gary Gruber</w:t>
            </w:r>
          </w:p>
          <w:p w14:paraId="158574D5" w14:textId="3B5C3B1E" w:rsidR="008159E4" w:rsidRDefault="008159E4" w:rsidP="00042786">
            <w:pPr>
              <w:ind w:left="-5"/>
              <w:rPr>
                <w:bCs/>
              </w:rPr>
            </w:pPr>
            <w:r>
              <w:rPr>
                <w:bCs/>
              </w:rPr>
              <w:t>Peter Routledge</w:t>
            </w:r>
          </w:p>
          <w:p w14:paraId="5C54C989" w14:textId="2B1794FF" w:rsidR="008159E4" w:rsidRDefault="008159E4" w:rsidP="00042786">
            <w:pPr>
              <w:ind w:left="-5"/>
              <w:rPr>
                <w:bCs/>
              </w:rPr>
            </w:pPr>
            <w:r>
              <w:rPr>
                <w:bCs/>
              </w:rPr>
              <w:t>Hamish McFarlane</w:t>
            </w:r>
          </w:p>
          <w:p w14:paraId="6A25115A" w14:textId="265F3855" w:rsidR="008159E4" w:rsidRPr="00CD308D" w:rsidRDefault="008159E4" w:rsidP="00042786">
            <w:pPr>
              <w:ind w:left="-5"/>
              <w:rPr>
                <w:bCs/>
              </w:rPr>
            </w:pPr>
            <w:r>
              <w:rPr>
                <w:bCs/>
              </w:rPr>
              <w:t>Michael Baird</w:t>
            </w:r>
          </w:p>
          <w:p w14:paraId="5EC09493" w14:textId="77777777" w:rsidR="00125F1F" w:rsidRDefault="00125F1F" w:rsidP="00042786">
            <w:pPr>
              <w:ind w:left="-5"/>
              <w:rPr>
                <w:b/>
                <w:sz w:val="28"/>
                <w:szCs w:val="28"/>
              </w:rPr>
            </w:pPr>
          </w:p>
        </w:tc>
        <w:tc>
          <w:tcPr>
            <w:tcW w:w="4508" w:type="dxa"/>
          </w:tcPr>
          <w:p w14:paraId="271539DB" w14:textId="62913084" w:rsidR="00125F1F" w:rsidRPr="003B3DDA" w:rsidRDefault="00125F1F" w:rsidP="00042786"/>
        </w:tc>
      </w:tr>
    </w:tbl>
    <w:p w14:paraId="39AC0E11" w14:textId="77777777" w:rsidR="00CC06FC" w:rsidRDefault="00CC06FC">
      <w:pPr>
        <w:rPr>
          <w:b/>
        </w:rPr>
      </w:pPr>
    </w:p>
    <w:p w14:paraId="39AC0E17" w14:textId="3DE72258" w:rsidR="00CC06FC" w:rsidRDefault="001E0DFD" w:rsidP="00CC06FC">
      <w:pPr>
        <w:pStyle w:val="ListParagraph"/>
        <w:numPr>
          <w:ilvl w:val="0"/>
          <w:numId w:val="1"/>
        </w:numPr>
        <w:rPr>
          <w:b/>
        </w:rPr>
      </w:pPr>
      <w:r>
        <w:rPr>
          <w:b/>
        </w:rPr>
        <w:t>Richard Sankey w</w:t>
      </w:r>
      <w:r w:rsidR="00CC06FC" w:rsidRPr="00AA7CAB">
        <w:rPr>
          <w:b/>
        </w:rPr>
        <w:t>elcome</w:t>
      </w:r>
      <w:r>
        <w:rPr>
          <w:b/>
        </w:rPr>
        <w:t>d those attending and noted a</w:t>
      </w:r>
      <w:r w:rsidR="00DE50FE" w:rsidRPr="00AA7CAB">
        <w:rPr>
          <w:b/>
        </w:rPr>
        <w:t>pologies</w:t>
      </w:r>
    </w:p>
    <w:p w14:paraId="671D624F" w14:textId="38E7708C" w:rsidR="00DF6E49" w:rsidRDefault="00DF6E49" w:rsidP="00CC06FC">
      <w:pPr>
        <w:pStyle w:val="ListParagraph"/>
        <w:numPr>
          <w:ilvl w:val="0"/>
          <w:numId w:val="1"/>
        </w:numPr>
        <w:rPr>
          <w:b/>
        </w:rPr>
      </w:pPr>
      <w:r>
        <w:rPr>
          <w:b/>
        </w:rPr>
        <w:t>In Memory of Charlie Menzies</w:t>
      </w:r>
    </w:p>
    <w:p w14:paraId="21D58839" w14:textId="30BF933D" w:rsidR="00D557EF" w:rsidRPr="00901771" w:rsidRDefault="003A1FCB" w:rsidP="00D557EF">
      <w:pPr>
        <w:pStyle w:val="ListParagraph"/>
        <w:ind w:left="510"/>
        <w:rPr>
          <w:bCs/>
        </w:rPr>
      </w:pPr>
      <w:r>
        <w:rPr>
          <w:bCs/>
        </w:rPr>
        <w:t xml:space="preserve">The Board had recently been informed of the sad death of Charles (Charlie) Menzies, former fisheries superintendent. Originally from Perthshire, </w:t>
      </w:r>
      <w:r>
        <w:rPr>
          <w:rFonts w:ascii="Calibri" w:hAnsi="Calibri" w:cs="Calibri"/>
          <w:color w:val="000000"/>
        </w:rPr>
        <w:t xml:space="preserve">Charlie joined the Board in 1989 direct from the army. We understand he was an RSM and served in Hong Kong amongst other places. He left the Board in 2001 to take up to the post of Bursar at Uppingham School in Rutland. He is survived by his wife </w:t>
      </w:r>
      <w:r w:rsidR="009F3A1E">
        <w:rPr>
          <w:rFonts w:ascii="Calibri" w:hAnsi="Calibri" w:cs="Calibri"/>
          <w:color w:val="000000"/>
        </w:rPr>
        <w:t>H</w:t>
      </w:r>
      <w:bookmarkStart w:id="0" w:name="_GoBack"/>
      <w:bookmarkEnd w:id="0"/>
      <w:r>
        <w:rPr>
          <w:rFonts w:ascii="Calibri" w:hAnsi="Calibri" w:cs="Calibri"/>
          <w:color w:val="000000"/>
        </w:rPr>
        <w:t xml:space="preserve">eather and two children. </w:t>
      </w:r>
    </w:p>
    <w:p w14:paraId="39AC0E18" w14:textId="3B5137F3" w:rsidR="00CC06FC" w:rsidRPr="00AA7CAB" w:rsidRDefault="00CC06FC" w:rsidP="00CC06FC">
      <w:pPr>
        <w:pStyle w:val="ListParagraph"/>
        <w:numPr>
          <w:ilvl w:val="0"/>
          <w:numId w:val="1"/>
        </w:numPr>
        <w:rPr>
          <w:b/>
        </w:rPr>
      </w:pPr>
      <w:r w:rsidRPr="00AA7CAB">
        <w:rPr>
          <w:b/>
        </w:rPr>
        <w:t>Minute</w:t>
      </w:r>
      <w:r w:rsidR="00A12B88" w:rsidRPr="00AA7CAB">
        <w:rPr>
          <w:b/>
        </w:rPr>
        <w:t>s</w:t>
      </w:r>
      <w:r w:rsidRPr="00AA7CAB">
        <w:rPr>
          <w:b/>
        </w:rPr>
        <w:t xml:space="preserve"> of Meeting held </w:t>
      </w:r>
      <w:r w:rsidR="002E7397">
        <w:rPr>
          <w:b/>
        </w:rPr>
        <w:t>12</w:t>
      </w:r>
      <w:r w:rsidR="002E7397" w:rsidRPr="002E7397">
        <w:rPr>
          <w:b/>
          <w:vertAlign w:val="superscript"/>
        </w:rPr>
        <w:t>th</w:t>
      </w:r>
      <w:r w:rsidR="002E7397">
        <w:rPr>
          <w:b/>
        </w:rPr>
        <w:t xml:space="preserve"> October 201</w:t>
      </w:r>
      <w:r w:rsidR="00DF6E49">
        <w:rPr>
          <w:b/>
        </w:rPr>
        <w:t>8</w:t>
      </w:r>
      <w:r w:rsidRPr="00AA7CAB">
        <w:rPr>
          <w:b/>
        </w:rPr>
        <w:t xml:space="preserve"> </w:t>
      </w:r>
      <w:r w:rsidR="002210C4" w:rsidRPr="00AA7CAB">
        <w:rPr>
          <w:b/>
        </w:rPr>
        <w:t>were a</w:t>
      </w:r>
      <w:r w:rsidRPr="00AA7CAB">
        <w:rPr>
          <w:b/>
        </w:rPr>
        <w:t>pprov</w:t>
      </w:r>
      <w:r w:rsidR="00906261" w:rsidRPr="00AA7CAB">
        <w:rPr>
          <w:b/>
        </w:rPr>
        <w:t>ed</w:t>
      </w:r>
      <w:r w:rsidRPr="00AA7CAB">
        <w:rPr>
          <w:b/>
        </w:rPr>
        <w:t xml:space="preserve"> and </w:t>
      </w:r>
      <w:r w:rsidR="002210C4" w:rsidRPr="00AA7CAB">
        <w:rPr>
          <w:b/>
        </w:rPr>
        <w:t>a</w:t>
      </w:r>
      <w:r w:rsidRPr="00AA7CAB">
        <w:rPr>
          <w:b/>
        </w:rPr>
        <w:t>dopt</w:t>
      </w:r>
      <w:r w:rsidR="00906261" w:rsidRPr="00AA7CAB">
        <w:rPr>
          <w:b/>
        </w:rPr>
        <w:t>ed</w:t>
      </w:r>
    </w:p>
    <w:p w14:paraId="39AC0E19" w14:textId="37928F36" w:rsidR="00CC06FC" w:rsidRPr="00AA7CAB" w:rsidRDefault="00B6792F" w:rsidP="00CC06FC">
      <w:pPr>
        <w:pStyle w:val="ListParagraph"/>
        <w:numPr>
          <w:ilvl w:val="0"/>
          <w:numId w:val="1"/>
        </w:numPr>
        <w:rPr>
          <w:b/>
        </w:rPr>
      </w:pPr>
      <w:r w:rsidRPr="00AA7CAB">
        <w:rPr>
          <w:b/>
        </w:rPr>
        <w:t xml:space="preserve">Action Points &amp; </w:t>
      </w:r>
      <w:r w:rsidR="00CC06FC" w:rsidRPr="00AA7CAB">
        <w:rPr>
          <w:b/>
        </w:rPr>
        <w:t>Matters Arising</w:t>
      </w:r>
    </w:p>
    <w:p w14:paraId="1A12CAB7" w14:textId="77777777" w:rsidR="00B43053" w:rsidRDefault="00B43053" w:rsidP="00B43053">
      <w:pPr>
        <w:ind w:left="360"/>
      </w:pPr>
    </w:p>
    <w:p w14:paraId="0C8CE68F" w14:textId="341FADCD" w:rsidR="00B43053" w:rsidRDefault="00B43053" w:rsidP="00B43053">
      <w:pPr>
        <w:ind w:left="360"/>
      </w:pPr>
      <w:r>
        <w:t>B/</w:t>
      </w:r>
      <w:r w:rsidR="0075166E">
        <w:t>Fwd.</w:t>
      </w:r>
      <w:r>
        <w:t xml:space="preserve"> Actions</w:t>
      </w:r>
    </w:p>
    <w:tbl>
      <w:tblPr>
        <w:tblStyle w:val="TableGrid"/>
        <w:tblW w:w="0" w:type="auto"/>
        <w:tblLook w:val="04A0" w:firstRow="1" w:lastRow="0" w:firstColumn="1" w:lastColumn="0" w:noHBand="0" w:noVBand="1"/>
      </w:tblPr>
      <w:tblGrid>
        <w:gridCol w:w="666"/>
        <w:gridCol w:w="976"/>
        <w:gridCol w:w="3751"/>
        <w:gridCol w:w="1804"/>
        <w:gridCol w:w="1445"/>
      </w:tblGrid>
      <w:tr w:rsidR="00C84750" w14:paraId="4AFDAA44" w14:textId="77777777" w:rsidTr="0015771F">
        <w:tc>
          <w:tcPr>
            <w:tcW w:w="666" w:type="dxa"/>
            <w:vAlign w:val="center"/>
          </w:tcPr>
          <w:p w14:paraId="4AC4AA39" w14:textId="77777777" w:rsidR="00C84750" w:rsidRDefault="00C84750" w:rsidP="0015771F">
            <w:pPr>
              <w:jc w:val="center"/>
            </w:pPr>
            <w:r>
              <w:t>No</w:t>
            </w:r>
          </w:p>
        </w:tc>
        <w:tc>
          <w:tcPr>
            <w:tcW w:w="976" w:type="dxa"/>
            <w:vAlign w:val="center"/>
          </w:tcPr>
          <w:p w14:paraId="75C3360E" w14:textId="77777777" w:rsidR="00C84750" w:rsidRDefault="00C84750" w:rsidP="0015771F">
            <w:pPr>
              <w:jc w:val="center"/>
            </w:pPr>
            <w:r>
              <w:t>Who</w:t>
            </w:r>
          </w:p>
        </w:tc>
        <w:tc>
          <w:tcPr>
            <w:tcW w:w="3751" w:type="dxa"/>
            <w:vAlign w:val="center"/>
          </w:tcPr>
          <w:p w14:paraId="5CFD9FC2" w14:textId="77777777" w:rsidR="00C84750" w:rsidRDefault="00C84750" w:rsidP="0015771F">
            <w:pPr>
              <w:jc w:val="center"/>
            </w:pPr>
            <w:r>
              <w:t>Action</w:t>
            </w:r>
          </w:p>
        </w:tc>
        <w:tc>
          <w:tcPr>
            <w:tcW w:w="1804" w:type="dxa"/>
            <w:vAlign w:val="center"/>
          </w:tcPr>
          <w:p w14:paraId="08E6CC3E" w14:textId="77777777" w:rsidR="00C84750" w:rsidRDefault="00C84750" w:rsidP="0015771F">
            <w:pPr>
              <w:jc w:val="center"/>
            </w:pPr>
            <w:r>
              <w:t>Raised</w:t>
            </w:r>
          </w:p>
        </w:tc>
        <w:tc>
          <w:tcPr>
            <w:tcW w:w="1445" w:type="dxa"/>
            <w:vAlign w:val="center"/>
          </w:tcPr>
          <w:p w14:paraId="1936162E" w14:textId="77777777" w:rsidR="00C84750" w:rsidRDefault="00C84750" w:rsidP="0015771F">
            <w:pPr>
              <w:jc w:val="center"/>
            </w:pPr>
            <w:r>
              <w:t>Completed by</w:t>
            </w:r>
          </w:p>
        </w:tc>
      </w:tr>
      <w:tr w:rsidR="00C84750" w14:paraId="115C259A" w14:textId="77777777" w:rsidTr="00273790">
        <w:tc>
          <w:tcPr>
            <w:tcW w:w="666" w:type="dxa"/>
            <w:shd w:val="clear" w:color="auto" w:fill="D9D9D9" w:themeFill="background1" w:themeFillShade="D9"/>
          </w:tcPr>
          <w:p w14:paraId="0079DE74" w14:textId="77777777" w:rsidR="00C84750" w:rsidRDefault="00C84750" w:rsidP="0015771F">
            <w:r>
              <w:lastRenderedPageBreak/>
              <w:t>1</w:t>
            </w:r>
          </w:p>
        </w:tc>
        <w:tc>
          <w:tcPr>
            <w:tcW w:w="976" w:type="dxa"/>
            <w:shd w:val="clear" w:color="auto" w:fill="D9D9D9" w:themeFill="background1" w:themeFillShade="D9"/>
          </w:tcPr>
          <w:p w14:paraId="5E57C342" w14:textId="77777777" w:rsidR="00C84750" w:rsidRDefault="00C84750" w:rsidP="0015771F">
            <w:r>
              <w:t>KW</w:t>
            </w:r>
          </w:p>
        </w:tc>
        <w:tc>
          <w:tcPr>
            <w:tcW w:w="3751" w:type="dxa"/>
            <w:shd w:val="clear" w:color="auto" w:fill="D9D9D9" w:themeFill="background1" w:themeFillShade="D9"/>
          </w:tcPr>
          <w:p w14:paraId="67EAA0E1" w14:textId="654B2B2A" w:rsidR="00C84750" w:rsidRDefault="00C84750" w:rsidP="0015771F">
            <w:r>
              <w:t>Annual account dates –speak to the accountant and examine best new dates. Action KW</w:t>
            </w:r>
            <w:r w:rsidR="00C65390">
              <w:t>- Accountant</w:t>
            </w:r>
            <w:r w:rsidR="007757B9">
              <w:t xml:space="preserve"> advises to leave as is</w:t>
            </w:r>
          </w:p>
        </w:tc>
        <w:tc>
          <w:tcPr>
            <w:tcW w:w="1804" w:type="dxa"/>
            <w:shd w:val="clear" w:color="auto" w:fill="D9D9D9" w:themeFill="background1" w:themeFillShade="D9"/>
          </w:tcPr>
          <w:p w14:paraId="2F2ABE3E" w14:textId="77777777" w:rsidR="00C84750" w:rsidRDefault="00C84750" w:rsidP="0015771F">
            <w:r>
              <w:t>October 2018</w:t>
            </w:r>
          </w:p>
        </w:tc>
        <w:tc>
          <w:tcPr>
            <w:tcW w:w="1445" w:type="dxa"/>
            <w:shd w:val="clear" w:color="auto" w:fill="D9D9D9" w:themeFill="background1" w:themeFillShade="D9"/>
          </w:tcPr>
          <w:p w14:paraId="15D11696" w14:textId="524A5C20" w:rsidR="00C84750" w:rsidRDefault="00273790" w:rsidP="0015771F">
            <w:r>
              <w:t>Completed</w:t>
            </w:r>
          </w:p>
        </w:tc>
      </w:tr>
      <w:tr w:rsidR="00C84750" w14:paraId="5B86C613" w14:textId="77777777" w:rsidTr="00273790">
        <w:tc>
          <w:tcPr>
            <w:tcW w:w="666" w:type="dxa"/>
            <w:shd w:val="clear" w:color="auto" w:fill="D9D9D9" w:themeFill="background1" w:themeFillShade="D9"/>
          </w:tcPr>
          <w:p w14:paraId="171B45C3" w14:textId="77777777" w:rsidR="00C84750" w:rsidRDefault="00C84750" w:rsidP="0015771F">
            <w:r>
              <w:t>2</w:t>
            </w:r>
          </w:p>
        </w:tc>
        <w:tc>
          <w:tcPr>
            <w:tcW w:w="976" w:type="dxa"/>
            <w:shd w:val="clear" w:color="auto" w:fill="D9D9D9" w:themeFill="background1" w:themeFillShade="D9"/>
          </w:tcPr>
          <w:p w14:paraId="0C5001E4" w14:textId="77777777" w:rsidR="00C84750" w:rsidRDefault="00C84750" w:rsidP="0015771F">
            <w:r>
              <w:t>JH</w:t>
            </w:r>
          </w:p>
        </w:tc>
        <w:tc>
          <w:tcPr>
            <w:tcW w:w="3751" w:type="dxa"/>
            <w:shd w:val="clear" w:color="auto" w:fill="D9D9D9" w:themeFill="background1" w:themeFillShade="D9"/>
          </w:tcPr>
          <w:p w14:paraId="74653635" w14:textId="4E99168E" w:rsidR="00C84750" w:rsidRDefault="00C84750" w:rsidP="0015771F">
            <w:r>
              <w:t xml:space="preserve">Check on full audit requirements on our accounts.  Action </w:t>
            </w:r>
            <w:r w:rsidR="00C65390">
              <w:t>JH Accountant</w:t>
            </w:r>
            <w:r w:rsidR="00553C58">
              <w:t xml:space="preserve"> advise</w:t>
            </w:r>
            <w:r w:rsidR="00132837">
              <w:t>d</w:t>
            </w:r>
            <w:r w:rsidR="00553C58">
              <w:t xml:space="preserve"> not required</w:t>
            </w:r>
          </w:p>
        </w:tc>
        <w:tc>
          <w:tcPr>
            <w:tcW w:w="1804" w:type="dxa"/>
            <w:shd w:val="clear" w:color="auto" w:fill="D9D9D9" w:themeFill="background1" w:themeFillShade="D9"/>
          </w:tcPr>
          <w:p w14:paraId="69DD79CD" w14:textId="77777777" w:rsidR="00C84750" w:rsidRDefault="00C84750" w:rsidP="0015771F">
            <w:r>
              <w:t>October 2018</w:t>
            </w:r>
          </w:p>
        </w:tc>
        <w:tc>
          <w:tcPr>
            <w:tcW w:w="1445" w:type="dxa"/>
            <w:shd w:val="clear" w:color="auto" w:fill="D9D9D9" w:themeFill="background1" w:themeFillShade="D9"/>
          </w:tcPr>
          <w:p w14:paraId="709692B3" w14:textId="035D8EA9" w:rsidR="00C84750" w:rsidRDefault="00273790" w:rsidP="0015771F">
            <w:r>
              <w:t>Completed</w:t>
            </w:r>
          </w:p>
        </w:tc>
      </w:tr>
      <w:tr w:rsidR="00C84750" w14:paraId="2426292B" w14:textId="77777777" w:rsidTr="0015771F">
        <w:tc>
          <w:tcPr>
            <w:tcW w:w="666" w:type="dxa"/>
            <w:shd w:val="clear" w:color="auto" w:fill="auto"/>
          </w:tcPr>
          <w:p w14:paraId="5C69BA37" w14:textId="77777777" w:rsidR="00C84750" w:rsidRDefault="00C84750" w:rsidP="0015771F">
            <w:r>
              <w:t>3</w:t>
            </w:r>
          </w:p>
        </w:tc>
        <w:tc>
          <w:tcPr>
            <w:tcW w:w="976" w:type="dxa"/>
            <w:shd w:val="clear" w:color="auto" w:fill="auto"/>
          </w:tcPr>
          <w:p w14:paraId="5F19BEB9" w14:textId="77777777" w:rsidR="00C84750" w:rsidRDefault="00C84750" w:rsidP="0015771F">
            <w:r>
              <w:t>KW</w:t>
            </w:r>
          </w:p>
        </w:tc>
        <w:tc>
          <w:tcPr>
            <w:tcW w:w="3751" w:type="dxa"/>
            <w:shd w:val="clear" w:color="auto" w:fill="auto"/>
          </w:tcPr>
          <w:p w14:paraId="79B6AAE0" w14:textId="77777777" w:rsidR="00C84750" w:rsidRDefault="00C84750" w:rsidP="0015771F">
            <w:r>
              <w:t>Annually review the hatchery operation and relevance. Action KW</w:t>
            </w:r>
          </w:p>
        </w:tc>
        <w:tc>
          <w:tcPr>
            <w:tcW w:w="1804" w:type="dxa"/>
            <w:shd w:val="clear" w:color="auto" w:fill="auto"/>
          </w:tcPr>
          <w:p w14:paraId="6FC65440" w14:textId="77777777" w:rsidR="00C84750" w:rsidRDefault="00C84750" w:rsidP="0015771F">
            <w:r>
              <w:t>October 2018</w:t>
            </w:r>
          </w:p>
        </w:tc>
        <w:tc>
          <w:tcPr>
            <w:tcW w:w="1445" w:type="dxa"/>
            <w:shd w:val="clear" w:color="auto" w:fill="auto"/>
          </w:tcPr>
          <w:p w14:paraId="269B0547" w14:textId="77777777" w:rsidR="00C84750" w:rsidRDefault="00C84750" w:rsidP="0015771F">
            <w:r>
              <w:t>Ongoing</w:t>
            </w:r>
          </w:p>
        </w:tc>
      </w:tr>
      <w:tr w:rsidR="00C84750" w14:paraId="6119E8C8" w14:textId="77777777" w:rsidTr="0015771F">
        <w:tc>
          <w:tcPr>
            <w:tcW w:w="666" w:type="dxa"/>
            <w:shd w:val="clear" w:color="auto" w:fill="auto"/>
          </w:tcPr>
          <w:p w14:paraId="67062F2F" w14:textId="77777777" w:rsidR="00C84750" w:rsidRDefault="00C84750" w:rsidP="0015771F">
            <w:r>
              <w:t>4</w:t>
            </w:r>
          </w:p>
        </w:tc>
        <w:tc>
          <w:tcPr>
            <w:tcW w:w="976" w:type="dxa"/>
            <w:shd w:val="clear" w:color="auto" w:fill="auto"/>
          </w:tcPr>
          <w:p w14:paraId="734D12BC" w14:textId="77777777" w:rsidR="00C84750" w:rsidRDefault="00C84750" w:rsidP="0015771F">
            <w:r>
              <w:t>JH</w:t>
            </w:r>
          </w:p>
        </w:tc>
        <w:tc>
          <w:tcPr>
            <w:tcW w:w="3751" w:type="dxa"/>
            <w:shd w:val="clear" w:color="auto" w:fill="auto"/>
          </w:tcPr>
          <w:p w14:paraId="6ED4AF61" w14:textId="242BBF41" w:rsidR="00C84750" w:rsidRDefault="00C84750" w:rsidP="0015771F">
            <w:r>
              <w:t>Asset register value of netting and fishing rights clarify with accountant.  Action JH</w:t>
            </w:r>
            <w:r w:rsidR="00553C58">
              <w:t xml:space="preserve"> – in hand</w:t>
            </w:r>
          </w:p>
        </w:tc>
        <w:tc>
          <w:tcPr>
            <w:tcW w:w="1804" w:type="dxa"/>
            <w:shd w:val="clear" w:color="auto" w:fill="auto"/>
          </w:tcPr>
          <w:p w14:paraId="70590A75" w14:textId="77777777" w:rsidR="00C84750" w:rsidRDefault="00C84750" w:rsidP="0015771F">
            <w:r>
              <w:t>October 2018</w:t>
            </w:r>
          </w:p>
        </w:tc>
        <w:tc>
          <w:tcPr>
            <w:tcW w:w="1445" w:type="dxa"/>
            <w:shd w:val="clear" w:color="auto" w:fill="auto"/>
          </w:tcPr>
          <w:p w14:paraId="22F30BD6" w14:textId="61CE72DF" w:rsidR="00C84750" w:rsidRDefault="00C84750" w:rsidP="0015771F">
            <w:r>
              <w:t>December 201</w:t>
            </w:r>
            <w:r w:rsidR="003A1FCB">
              <w:t>8</w:t>
            </w:r>
          </w:p>
        </w:tc>
      </w:tr>
      <w:tr w:rsidR="000D57EE" w14:paraId="476B088E" w14:textId="77777777" w:rsidTr="000D57EE">
        <w:tc>
          <w:tcPr>
            <w:tcW w:w="666" w:type="dxa"/>
            <w:shd w:val="clear" w:color="auto" w:fill="D9D9D9" w:themeFill="background1" w:themeFillShade="D9"/>
          </w:tcPr>
          <w:p w14:paraId="3A042AE8" w14:textId="77777777" w:rsidR="000D57EE" w:rsidRDefault="000D57EE" w:rsidP="000D57EE">
            <w:r>
              <w:t>5</w:t>
            </w:r>
          </w:p>
        </w:tc>
        <w:tc>
          <w:tcPr>
            <w:tcW w:w="976" w:type="dxa"/>
            <w:shd w:val="clear" w:color="auto" w:fill="D9D9D9" w:themeFill="background1" w:themeFillShade="D9"/>
          </w:tcPr>
          <w:p w14:paraId="4CEECF7C" w14:textId="77777777" w:rsidR="000D57EE" w:rsidRDefault="000D57EE" w:rsidP="000D57EE">
            <w:r>
              <w:t>KW</w:t>
            </w:r>
          </w:p>
        </w:tc>
        <w:tc>
          <w:tcPr>
            <w:tcW w:w="3751" w:type="dxa"/>
            <w:shd w:val="clear" w:color="auto" w:fill="D9D9D9" w:themeFill="background1" w:themeFillShade="D9"/>
          </w:tcPr>
          <w:p w14:paraId="009AB3A6" w14:textId="349FE708" w:rsidR="000D57EE" w:rsidRDefault="000D57EE" w:rsidP="000D57EE">
            <w:r>
              <w:t>CAR License – Check if still paying SEPA and if still valid to hold.  Action KW – spoken to SEPA statutory return, letter received from SEPA ask for returns sent them 4. They have not collected CAR license in 4 years. There is no connection to local level. If for environmental benefit should not be paying at all.</w:t>
            </w:r>
          </w:p>
        </w:tc>
        <w:tc>
          <w:tcPr>
            <w:tcW w:w="1804" w:type="dxa"/>
            <w:shd w:val="clear" w:color="auto" w:fill="D9D9D9" w:themeFill="background1" w:themeFillShade="D9"/>
          </w:tcPr>
          <w:p w14:paraId="49EA947C" w14:textId="77777777" w:rsidR="000D57EE" w:rsidRDefault="000D57EE" w:rsidP="000D57EE">
            <w:r>
              <w:t>October 2018</w:t>
            </w:r>
          </w:p>
        </w:tc>
        <w:tc>
          <w:tcPr>
            <w:tcW w:w="1445" w:type="dxa"/>
            <w:shd w:val="clear" w:color="auto" w:fill="D9D9D9" w:themeFill="background1" w:themeFillShade="D9"/>
          </w:tcPr>
          <w:p w14:paraId="474F4731" w14:textId="0B856137" w:rsidR="000D57EE" w:rsidRDefault="000D57EE" w:rsidP="000D57EE">
            <w:r>
              <w:t>Complete</w:t>
            </w:r>
          </w:p>
        </w:tc>
      </w:tr>
      <w:tr w:rsidR="000D57EE" w14:paraId="75A24CD1" w14:textId="77777777" w:rsidTr="0015771F">
        <w:tc>
          <w:tcPr>
            <w:tcW w:w="666" w:type="dxa"/>
            <w:shd w:val="clear" w:color="auto" w:fill="auto"/>
          </w:tcPr>
          <w:p w14:paraId="7033FCAF" w14:textId="77777777" w:rsidR="000D57EE" w:rsidRDefault="000D57EE" w:rsidP="000D57EE">
            <w:r>
              <w:t>6</w:t>
            </w:r>
          </w:p>
        </w:tc>
        <w:tc>
          <w:tcPr>
            <w:tcW w:w="976" w:type="dxa"/>
            <w:shd w:val="clear" w:color="auto" w:fill="auto"/>
          </w:tcPr>
          <w:p w14:paraId="1571C242" w14:textId="77777777" w:rsidR="000D57EE" w:rsidRDefault="000D57EE" w:rsidP="000D57EE">
            <w:r>
              <w:t>JH</w:t>
            </w:r>
          </w:p>
        </w:tc>
        <w:tc>
          <w:tcPr>
            <w:tcW w:w="3751" w:type="dxa"/>
            <w:shd w:val="clear" w:color="auto" w:fill="auto"/>
          </w:tcPr>
          <w:p w14:paraId="48361B0B" w14:textId="096284C7" w:rsidR="000D57EE" w:rsidRDefault="000D57EE" w:rsidP="000D57EE">
            <w:r>
              <w:t>Insurance against tax investigation.  Check with NFU.  Action JH – we are not insured against Tax investigation. Annual review in October will request quote, RS advised wise to do. Action JH. Agreed VAT formula with revenue</w:t>
            </w:r>
          </w:p>
        </w:tc>
        <w:tc>
          <w:tcPr>
            <w:tcW w:w="1804" w:type="dxa"/>
            <w:shd w:val="clear" w:color="auto" w:fill="auto"/>
          </w:tcPr>
          <w:p w14:paraId="5EB85042" w14:textId="77777777" w:rsidR="000D57EE" w:rsidRDefault="000D57EE" w:rsidP="000D57EE">
            <w:r>
              <w:t>October 2018</w:t>
            </w:r>
          </w:p>
        </w:tc>
        <w:tc>
          <w:tcPr>
            <w:tcW w:w="1445" w:type="dxa"/>
            <w:shd w:val="clear" w:color="auto" w:fill="auto"/>
          </w:tcPr>
          <w:p w14:paraId="5FEBD6F5" w14:textId="77777777" w:rsidR="000D57EE" w:rsidRDefault="000D57EE" w:rsidP="000D57EE">
            <w:r>
              <w:t>December 2018</w:t>
            </w:r>
          </w:p>
        </w:tc>
      </w:tr>
    </w:tbl>
    <w:p w14:paraId="0F259390" w14:textId="77777777" w:rsidR="001E0DFD" w:rsidRDefault="001E0DFD" w:rsidP="001E0DFD">
      <w:pPr>
        <w:pStyle w:val="ListParagraph"/>
        <w:spacing w:after="200" w:line="276" w:lineRule="auto"/>
        <w:ind w:left="510"/>
        <w:rPr>
          <w:b/>
        </w:rPr>
      </w:pPr>
    </w:p>
    <w:p w14:paraId="1629395B" w14:textId="24F622C1" w:rsidR="00FE35B3" w:rsidRDefault="00DE50FE" w:rsidP="00B64D4E">
      <w:pPr>
        <w:pStyle w:val="ListParagraph"/>
        <w:numPr>
          <w:ilvl w:val="0"/>
          <w:numId w:val="1"/>
        </w:numPr>
        <w:spacing w:after="200" w:line="276" w:lineRule="auto"/>
        <w:rPr>
          <w:b/>
        </w:rPr>
      </w:pPr>
      <w:r w:rsidRPr="00AA7CAB">
        <w:rPr>
          <w:b/>
        </w:rPr>
        <w:t>Chairman’s Report</w:t>
      </w:r>
    </w:p>
    <w:p w14:paraId="17B3EA1D" w14:textId="09438DEE" w:rsidR="00D72E82" w:rsidRDefault="00C0798D" w:rsidP="00277D0A">
      <w:pPr>
        <w:spacing w:after="200"/>
        <w:rPr>
          <w:bCs/>
        </w:rPr>
      </w:pPr>
      <w:r w:rsidRPr="00277D0A">
        <w:rPr>
          <w:bCs/>
        </w:rPr>
        <w:t>Des</w:t>
      </w:r>
      <w:r w:rsidR="00277D0A">
        <w:rPr>
          <w:bCs/>
        </w:rPr>
        <w:t xml:space="preserve">pite the dry summer in 2018 salmon </w:t>
      </w:r>
      <w:r w:rsidRPr="00277D0A">
        <w:rPr>
          <w:bCs/>
        </w:rPr>
        <w:t xml:space="preserve">catches </w:t>
      </w:r>
      <w:r w:rsidR="00277D0A">
        <w:rPr>
          <w:bCs/>
        </w:rPr>
        <w:t>were</w:t>
      </w:r>
      <w:r w:rsidR="009C3CB7" w:rsidRPr="00277D0A">
        <w:rPr>
          <w:bCs/>
        </w:rPr>
        <w:t xml:space="preserve"> </w:t>
      </w:r>
      <w:r w:rsidR="008020E8" w:rsidRPr="00277D0A">
        <w:rPr>
          <w:bCs/>
        </w:rPr>
        <w:t>in line with previous years</w:t>
      </w:r>
      <w:r w:rsidR="00277D0A">
        <w:rPr>
          <w:bCs/>
        </w:rPr>
        <w:t xml:space="preserve"> and early indications appear to suggest that the 2019 season will be broadly similar</w:t>
      </w:r>
      <w:r w:rsidR="008020E8" w:rsidRPr="00277D0A">
        <w:rPr>
          <w:bCs/>
        </w:rPr>
        <w:t xml:space="preserve">. </w:t>
      </w:r>
      <w:r w:rsidR="00277D0A">
        <w:rPr>
          <w:bCs/>
        </w:rPr>
        <w:t>Overall the fishery has had a strong year. The Board has been engaged in very interesting project work including the NEPS electro-fishing programme, tagging salmon smolts as part of the Atlantic Salmon Trust’s project which will in turn inform the Missing Salmon Alliance. Transportation of smolts from Loch Shin tributaries was undertaken again. The Oykel sediment fingerprinting project had shifted its focus to the Shin as the former had remained remarkably clear this year whereas the Shin appeared to have problems with the sediment. The staff had all worked hard during the year and deserved the thanks of the proprietors.</w:t>
      </w:r>
    </w:p>
    <w:p w14:paraId="4AD4A276" w14:textId="77777777" w:rsidR="00C84750" w:rsidRDefault="00C84750" w:rsidP="00CE7EC4">
      <w:pPr>
        <w:pStyle w:val="ListParagraph"/>
        <w:spacing w:after="200" w:line="276" w:lineRule="auto"/>
        <w:ind w:left="510"/>
        <w:rPr>
          <w:b/>
        </w:rPr>
      </w:pPr>
    </w:p>
    <w:p w14:paraId="6FBEABC3" w14:textId="00D0520D" w:rsidR="004D729D" w:rsidRDefault="00FE35B3" w:rsidP="004602FC">
      <w:pPr>
        <w:pStyle w:val="ListParagraph"/>
        <w:numPr>
          <w:ilvl w:val="0"/>
          <w:numId w:val="1"/>
        </w:numPr>
        <w:spacing w:after="200" w:line="276" w:lineRule="auto"/>
        <w:rPr>
          <w:b/>
        </w:rPr>
      </w:pPr>
      <w:r w:rsidRPr="004D729D">
        <w:rPr>
          <w:b/>
        </w:rPr>
        <w:t>Di</w:t>
      </w:r>
      <w:r w:rsidR="00DE50FE" w:rsidRPr="004D729D">
        <w:rPr>
          <w:b/>
        </w:rPr>
        <w:t xml:space="preserve">rector’s Report – including activities of the Board for the year to date </w:t>
      </w:r>
      <w:r w:rsidR="001B55E0" w:rsidRPr="004D729D">
        <w:rPr>
          <w:b/>
        </w:rPr>
        <w:t>and proposed activities for 201</w:t>
      </w:r>
      <w:r w:rsidR="00D156EE" w:rsidRPr="004D729D">
        <w:rPr>
          <w:b/>
        </w:rPr>
        <w:t>9</w:t>
      </w:r>
      <w:r w:rsidR="00E97367" w:rsidRPr="004D729D">
        <w:rPr>
          <w:b/>
        </w:rPr>
        <w:t>/</w:t>
      </w:r>
      <w:r w:rsidR="00D156EE" w:rsidRPr="004D729D">
        <w:rPr>
          <w:b/>
        </w:rPr>
        <w:t>20</w:t>
      </w:r>
    </w:p>
    <w:p w14:paraId="52E87A17" w14:textId="77777777" w:rsidR="004D729D" w:rsidRDefault="004D729D" w:rsidP="004D729D">
      <w:pPr>
        <w:pStyle w:val="ListParagraph"/>
        <w:spacing w:after="200" w:line="276" w:lineRule="auto"/>
        <w:ind w:left="510"/>
        <w:rPr>
          <w:b/>
        </w:rPr>
      </w:pPr>
    </w:p>
    <w:p w14:paraId="1628CDF0" w14:textId="6474CBE3" w:rsidR="00E001F6" w:rsidRPr="004D729D" w:rsidRDefault="00E001F6" w:rsidP="004D729D">
      <w:pPr>
        <w:pStyle w:val="ListParagraph"/>
        <w:spacing w:after="200" w:line="276" w:lineRule="auto"/>
        <w:ind w:left="0"/>
        <w:rPr>
          <w:b/>
        </w:rPr>
      </w:pPr>
      <w:r w:rsidRPr="004D729D">
        <w:rPr>
          <w:b/>
        </w:rPr>
        <w:t>201</w:t>
      </w:r>
      <w:r w:rsidR="00CE7EC4" w:rsidRPr="004D729D">
        <w:rPr>
          <w:b/>
        </w:rPr>
        <w:t>9</w:t>
      </w:r>
      <w:r w:rsidRPr="004D729D">
        <w:rPr>
          <w:b/>
        </w:rPr>
        <w:t xml:space="preserve"> KYLE DSFB STATUTORY ANNUAL REPORT</w:t>
      </w:r>
    </w:p>
    <w:p w14:paraId="795B7F1B" w14:textId="77777777" w:rsidR="000F457E" w:rsidRDefault="000F457E" w:rsidP="000F457E">
      <w:pPr>
        <w:rPr>
          <w:rFonts w:cstheme="minorHAnsi"/>
          <w:b/>
          <w:color w:val="FFFFFF" w:themeColor="background1"/>
        </w:rPr>
      </w:pPr>
      <w:r>
        <w:rPr>
          <w:rFonts w:cstheme="minorHAnsi"/>
          <w:b/>
        </w:rPr>
        <w:lastRenderedPageBreak/>
        <w:t xml:space="preserve">Fishery Performance </w:t>
      </w:r>
      <w:r>
        <w:rPr>
          <w:rFonts w:cstheme="minorHAnsi"/>
          <w:b/>
          <w:color w:val="FFFFFF" w:themeColor="background1"/>
        </w:rPr>
        <w:t>2018</w:t>
      </w:r>
    </w:p>
    <w:p w14:paraId="462827D1" w14:textId="77777777" w:rsidR="000F457E" w:rsidRDefault="000F457E" w:rsidP="000F457E">
      <w:pPr>
        <w:pStyle w:val="ListParagraph"/>
        <w:numPr>
          <w:ilvl w:val="0"/>
          <w:numId w:val="9"/>
        </w:numPr>
        <w:jc w:val="both"/>
        <w:rPr>
          <w:rFonts w:cstheme="minorHAnsi"/>
        </w:rPr>
      </w:pPr>
      <w:r>
        <w:rPr>
          <w:rFonts w:cstheme="minorHAnsi"/>
        </w:rPr>
        <w:t>The heavy rainfall in September 2018 resulted in the best total for the month for many years. The total catch for the season was slightly under 3,000 salmon and grilse. Ironically, for the second time in recent years the autumn component of the catches failed the NASCO rod catch assessment. The Board already recommends that all fish are returned in September.  Catches for the 2019 season appear to be reasonable to date, however this report has been prepared prior to the end of the fishing season. Sea trout catches, however, remain a concern. Catch and release rates for salmon and grilse presently stand at around 97%.</w:t>
      </w:r>
    </w:p>
    <w:p w14:paraId="5DEED798" w14:textId="146EA011" w:rsidR="000F457E" w:rsidRDefault="000F457E" w:rsidP="000F457E">
      <w:pPr>
        <w:rPr>
          <w:rFonts w:cstheme="minorHAnsi"/>
          <w:b/>
        </w:rPr>
      </w:pPr>
      <w:r>
        <w:rPr>
          <w:rFonts w:cstheme="minorHAnsi"/>
          <w:b/>
        </w:rPr>
        <w:t>Activities 201</w:t>
      </w:r>
      <w:r w:rsidR="00E75C4D">
        <w:rPr>
          <w:rFonts w:cstheme="minorHAnsi"/>
          <w:b/>
        </w:rPr>
        <w:t>8</w:t>
      </w:r>
      <w:r>
        <w:rPr>
          <w:rFonts w:cstheme="minorHAnsi"/>
          <w:b/>
        </w:rPr>
        <w:t>-201</w:t>
      </w:r>
      <w:r w:rsidR="00E75C4D">
        <w:rPr>
          <w:rFonts w:cstheme="minorHAnsi"/>
          <w:b/>
        </w:rPr>
        <w:t>9</w:t>
      </w:r>
    </w:p>
    <w:p w14:paraId="2ED1D516" w14:textId="77777777" w:rsidR="000F457E" w:rsidRDefault="000F457E" w:rsidP="000F457E">
      <w:pPr>
        <w:pStyle w:val="ListParagraph"/>
        <w:numPr>
          <w:ilvl w:val="0"/>
          <w:numId w:val="9"/>
        </w:numPr>
        <w:jc w:val="both"/>
        <w:rPr>
          <w:rFonts w:cstheme="minorHAnsi"/>
        </w:rPr>
      </w:pPr>
      <w:r>
        <w:rPr>
          <w:rFonts w:cstheme="minorHAnsi"/>
        </w:rPr>
        <w:t>A comprehensive review of activities and fishery performance for the 2018 calendar year has again been produced and is available on the website. This report is produced in conjunction with the Kyle of Sutherland Fisheries Trust and includes accounts for the 2017/18 year. The accounts for the 2017/18 financial year will be incorporated into the 2019 annual report. This is anticipated to be available in early 2020.</w:t>
      </w:r>
    </w:p>
    <w:p w14:paraId="42E871ED" w14:textId="77777777" w:rsidR="000F457E" w:rsidRDefault="000F457E" w:rsidP="000F457E">
      <w:pPr>
        <w:pStyle w:val="ListParagraph"/>
        <w:numPr>
          <w:ilvl w:val="0"/>
          <w:numId w:val="9"/>
        </w:numPr>
        <w:jc w:val="both"/>
        <w:rPr>
          <w:rFonts w:cstheme="minorHAnsi"/>
        </w:rPr>
      </w:pPr>
      <w:r>
        <w:rPr>
          <w:rFonts w:cstheme="minorHAnsi"/>
        </w:rPr>
        <w:t>The website has been revamped and includes much more information on Board and Trust activities as well as providing information with respect to fishing opportunities.</w:t>
      </w:r>
    </w:p>
    <w:p w14:paraId="6A676F21" w14:textId="77777777" w:rsidR="000F457E" w:rsidRDefault="000F457E" w:rsidP="000F457E">
      <w:pPr>
        <w:pStyle w:val="ListParagraph"/>
        <w:numPr>
          <w:ilvl w:val="0"/>
          <w:numId w:val="9"/>
        </w:numPr>
        <w:jc w:val="both"/>
        <w:rPr>
          <w:rFonts w:cstheme="minorHAnsi"/>
        </w:rPr>
      </w:pPr>
      <w:r>
        <w:rPr>
          <w:rFonts w:cstheme="minorHAnsi"/>
        </w:rPr>
        <w:t>Enforcement remains the core activity of the Board and regular patrols have been undertaken both in the sea and in inland waters. Rod and line issues continued to provide the bulk of activity. Additionally, visits were again made to restaurants in the district to ascertain the origin of wild sea trout being sold within this district. We continue to liaise with Police Scotland and neighbouring fishery boards.</w:t>
      </w:r>
    </w:p>
    <w:p w14:paraId="1D1F439F" w14:textId="77777777" w:rsidR="000F457E" w:rsidRDefault="000F457E" w:rsidP="000F457E">
      <w:pPr>
        <w:pStyle w:val="ListParagraph"/>
        <w:numPr>
          <w:ilvl w:val="0"/>
          <w:numId w:val="9"/>
        </w:numPr>
        <w:jc w:val="both"/>
        <w:rPr>
          <w:rFonts w:cstheme="minorHAnsi"/>
        </w:rPr>
      </w:pPr>
      <w:r>
        <w:rPr>
          <w:rFonts w:cstheme="minorHAnsi"/>
        </w:rPr>
        <w:t>The hatchery has not been utilised in 2018 although it continues to be maintained in order that it can be potentially utilised at short notice.</w:t>
      </w:r>
    </w:p>
    <w:p w14:paraId="5371DD30" w14:textId="77777777" w:rsidR="000F457E" w:rsidRDefault="000F457E" w:rsidP="000F457E">
      <w:pPr>
        <w:pStyle w:val="ListParagraph"/>
        <w:numPr>
          <w:ilvl w:val="0"/>
          <w:numId w:val="9"/>
        </w:numPr>
        <w:jc w:val="both"/>
        <w:rPr>
          <w:rFonts w:cstheme="minorHAnsi"/>
        </w:rPr>
      </w:pPr>
      <w:r>
        <w:rPr>
          <w:rFonts w:cstheme="minorHAnsi"/>
        </w:rPr>
        <w:t xml:space="preserve">Engagement with Marine Scotland Projects and working groups continues to develop. The Board and Kyle of Sutherland Fisheries Trust are project partners in </w:t>
      </w:r>
      <w:proofErr w:type="gramStart"/>
      <w:r>
        <w:rPr>
          <w:rFonts w:cstheme="minorHAnsi"/>
        </w:rPr>
        <w:t>a number of</w:t>
      </w:r>
      <w:proofErr w:type="gramEnd"/>
      <w:r>
        <w:rPr>
          <w:rFonts w:cstheme="minorHAnsi"/>
        </w:rPr>
        <w:t xml:space="preserve"> Marine Scotland Initiatives including the present national electro-fishing monitoring. </w:t>
      </w:r>
    </w:p>
    <w:p w14:paraId="523F5DA4" w14:textId="77777777" w:rsidR="000F457E" w:rsidRDefault="000F457E" w:rsidP="000F457E">
      <w:pPr>
        <w:pStyle w:val="ListParagraph"/>
        <w:numPr>
          <w:ilvl w:val="0"/>
          <w:numId w:val="9"/>
        </w:numPr>
        <w:jc w:val="both"/>
        <w:rPr>
          <w:rFonts w:cstheme="minorHAnsi"/>
        </w:rPr>
      </w:pPr>
      <w:r>
        <w:rPr>
          <w:rFonts w:cstheme="minorHAnsi"/>
        </w:rPr>
        <w:t>Targeted juvenile salmon monitoring continues as does smolt trapping and tagging. Projects of this nature typically involve collaboration with the Kyle of Sutherland Fisheries Trust and partners such as SSE and SEPA.</w:t>
      </w:r>
    </w:p>
    <w:p w14:paraId="4720D7F4" w14:textId="77777777" w:rsidR="000F457E" w:rsidRDefault="000F457E" w:rsidP="000F457E">
      <w:pPr>
        <w:rPr>
          <w:rFonts w:eastAsia="Times New Roman" w:cstheme="minorHAnsi"/>
          <w:b/>
          <w:color w:val="FFFFFF" w:themeColor="background1"/>
          <w:lang w:eastAsia="en-GB"/>
        </w:rPr>
      </w:pPr>
      <w:r>
        <w:rPr>
          <w:rFonts w:eastAsia="Times New Roman" w:cstheme="minorHAnsi"/>
          <w:b/>
          <w:lang w:eastAsia="en-GB"/>
        </w:rPr>
        <w:t>Consultations</w:t>
      </w:r>
    </w:p>
    <w:p w14:paraId="52098255" w14:textId="77777777" w:rsidR="000F457E" w:rsidRDefault="000F457E" w:rsidP="000F457E">
      <w:pPr>
        <w:pStyle w:val="ListParagraph"/>
        <w:numPr>
          <w:ilvl w:val="0"/>
          <w:numId w:val="10"/>
        </w:numPr>
        <w:jc w:val="both"/>
        <w:rPr>
          <w:rFonts w:eastAsia="Times New Roman" w:cstheme="minorHAnsi"/>
          <w:lang w:eastAsia="en-GB"/>
        </w:rPr>
      </w:pPr>
      <w:proofErr w:type="gramStart"/>
      <w:r>
        <w:rPr>
          <w:rFonts w:eastAsia="Times New Roman" w:cstheme="minorHAnsi"/>
          <w:lang w:eastAsia="en-GB"/>
        </w:rPr>
        <w:t>A number of</w:t>
      </w:r>
      <w:proofErr w:type="gramEnd"/>
      <w:r>
        <w:rPr>
          <w:rFonts w:eastAsia="Times New Roman" w:cstheme="minorHAnsi"/>
          <w:lang w:eastAsia="en-GB"/>
        </w:rPr>
        <w:t xml:space="preserve"> consultations were received in 2018 and early 2019. Consultations were, as ever, wide ranging with responses to local forestry management plans sitting alongside national issues such as proposed alterations to fishery management structures in Scotland. The Board aims to respond to all consultations received timeously. </w:t>
      </w:r>
    </w:p>
    <w:p w14:paraId="16B47AC6" w14:textId="77777777" w:rsidR="000F457E" w:rsidRDefault="000F457E" w:rsidP="000F457E">
      <w:pPr>
        <w:jc w:val="both"/>
        <w:rPr>
          <w:rFonts w:eastAsia="Times New Roman" w:cstheme="minorHAnsi"/>
          <w:b/>
          <w:lang w:eastAsia="en-GB"/>
        </w:rPr>
      </w:pPr>
      <w:r>
        <w:rPr>
          <w:rFonts w:eastAsia="Times New Roman" w:cstheme="minorHAnsi"/>
          <w:b/>
          <w:lang w:eastAsia="en-GB"/>
        </w:rPr>
        <w:t>Predator Control</w:t>
      </w:r>
    </w:p>
    <w:p w14:paraId="24D6B6BA" w14:textId="77777777" w:rsidR="000F457E" w:rsidRDefault="000F457E" w:rsidP="000F457E">
      <w:pPr>
        <w:pStyle w:val="ListParagraph"/>
        <w:numPr>
          <w:ilvl w:val="0"/>
          <w:numId w:val="10"/>
        </w:numPr>
        <w:jc w:val="both"/>
        <w:rPr>
          <w:rFonts w:eastAsia="Times New Roman" w:cstheme="minorHAnsi"/>
          <w:lang w:eastAsia="en-GB"/>
        </w:rPr>
      </w:pPr>
      <w:r>
        <w:rPr>
          <w:rFonts w:eastAsia="Times New Roman" w:cstheme="minorHAnsi"/>
          <w:lang w:eastAsia="en-GB"/>
        </w:rPr>
        <w:t>The Board remains an active participant in the Moray Firth Seal Management Plan and is also part of a coalition of Moray Firth fishery boards that collectively applies for a licence to shoot a limited quantity of piscivorous birds as an aid to scaring. In recent years a licence to shoot a small number of piscivorous birds has been received following the submission of an application to SNH. Counts of birds at a catchment level are undertaken by a combination of bailiffs and river workers in order to provide supporting information. Efforts in terms of scaring birds typically concentrate on the period leading up to and including the smolt run.</w:t>
      </w:r>
    </w:p>
    <w:p w14:paraId="5C2CCB45" w14:textId="77777777" w:rsidR="000F457E" w:rsidRDefault="000F457E" w:rsidP="000F457E">
      <w:pPr>
        <w:jc w:val="both"/>
        <w:rPr>
          <w:rFonts w:eastAsia="Times New Roman" w:cstheme="minorHAnsi"/>
          <w:b/>
          <w:lang w:eastAsia="en-GB"/>
        </w:rPr>
      </w:pPr>
      <w:r>
        <w:rPr>
          <w:rFonts w:eastAsia="Times New Roman" w:cstheme="minorHAnsi"/>
          <w:b/>
          <w:lang w:eastAsia="en-GB"/>
        </w:rPr>
        <w:t>Complaints</w:t>
      </w:r>
    </w:p>
    <w:p w14:paraId="3D7EFDC5" w14:textId="77777777" w:rsidR="000F457E" w:rsidRDefault="000F457E" w:rsidP="000F457E">
      <w:pPr>
        <w:pStyle w:val="ListParagraph"/>
        <w:numPr>
          <w:ilvl w:val="0"/>
          <w:numId w:val="10"/>
        </w:numPr>
        <w:jc w:val="both"/>
        <w:rPr>
          <w:rFonts w:eastAsia="Times New Roman" w:cstheme="minorHAnsi"/>
          <w:b/>
          <w:lang w:eastAsia="en-GB"/>
        </w:rPr>
      </w:pPr>
      <w:r>
        <w:rPr>
          <w:rFonts w:eastAsia="Times New Roman" w:cstheme="minorHAnsi"/>
          <w:lang w:eastAsia="en-GB"/>
        </w:rPr>
        <w:t xml:space="preserve">No formal complaints were received during the year. </w:t>
      </w:r>
    </w:p>
    <w:p w14:paraId="4BDA3107" w14:textId="77777777" w:rsidR="000F457E" w:rsidRDefault="000F457E" w:rsidP="000F457E">
      <w:pPr>
        <w:pStyle w:val="ListParagraph"/>
        <w:numPr>
          <w:ilvl w:val="0"/>
          <w:numId w:val="10"/>
        </w:numPr>
        <w:jc w:val="both"/>
        <w:rPr>
          <w:rFonts w:eastAsia="Times New Roman" w:cstheme="minorHAnsi"/>
          <w:lang w:eastAsia="en-GB"/>
        </w:rPr>
      </w:pPr>
      <w:r>
        <w:rPr>
          <w:rFonts w:eastAsia="Times New Roman" w:cstheme="minorHAnsi"/>
          <w:lang w:eastAsia="en-GB"/>
        </w:rPr>
        <w:lastRenderedPageBreak/>
        <w:t xml:space="preserve">Statutory good governance obligations are placed on district salmon fishery boards as defined in law by section 46 of the Salmon and Freshwater Fisheries (Consolidation) (Scotland) Act 2003. They comprise the original obligations placed on boards by the 2003 Act together with those introduced through amendments of the 2003 Act by the Aquaculture and Fisheries (Scotland) Act 2013 which came into force on the 16th September 2013. The purpose of the obligations is to enhance openness, transparency and accountability of the management of salmon fisheries by district salmon fishery boards. They bring together existing best practice to ensure that all boards act in a manner consistent with bodies operating in the public sphere. Key activities covered by these obligations include: </w:t>
      </w:r>
    </w:p>
    <w:p w14:paraId="0C97B7CE" w14:textId="77777777" w:rsidR="000F457E" w:rsidRDefault="000F457E" w:rsidP="000F457E">
      <w:pPr>
        <w:ind w:left="1440"/>
        <w:jc w:val="both"/>
        <w:rPr>
          <w:rFonts w:eastAsia="Times New Roman" w:cstheme="minorHAnsi"/>
          <w:lang w:eastAsia="en-GB"/>
        </w:rPr>
      </w:pPr>
      <w:r>
        <w:rPr>
          <w:rFonts w:eastAsia="Times New Roman" w:cstheme="minorHAnsi"/>
          <w:lang w:eastAsia="en-GB"/>
        </w:rPr>
        <w:sym w:font="Symbol" w:char="F0B7"/>
      </w:r>
      <w:r>
        <w:rPr>
          <w:rFonts w:eastAsia="Times New Roman" w:cstheme="minorHAnsi"/>
          <w:lang w:eastAsia="en-GB"/>
        </w:rPr>
        <w:t xml:space="preserve"> Annual reports and accounts</w:t>
      </w:r>
    </w:p>
    <w:p w14:paraId="337320A5" w14:textId="77777777" w:rsidR="000F457E" w:rsidRDefault="000F457E" w:rsidP="000F457E">
      <w:pPr>
        <w:ind w:left="1440"/>
        <w:jc w:val="both"/>
        <w:rPr>
          <w:rFonts w:eastAsia="Times New Roman" w:cstheme="minorHAnsi"/>
          <w:lang w:eastAsia="en-GB"/>
        </w:rPr>
      </w:pPr>
      <w:r>
        <w:rPr>
          <w:rFonts w:eastAsia="Times New Roman" w:cstheme="minorHAnsi"/>
          <w:lang w:eastAsia="en-GB"/>
        </w:rPr>
        <w:sym w:font="Symbol" w:char="F0B7"/>
      </w:r>
      <w:r>
        <w:rPr>
          <w:rFonts w:eastAsia="Times New Roman" w:cstheme="minorHAnsi"/>
          <w:lang w:eastAsia="en-GB"/>
        </w:rPr>
        <w:t xml:space="preserve"> Meetings of the board </w:t>
      </w:r>
    </w:p>
    <w:p w14:paraId="62B8265E" w14:textId="77777777" w:rsidR="000F457E" w:rsidRDefault="000F457E" w:rsidP="000F457E">
      <w:pPr>
        <w:ind w:left="1440"/>
        <w:jc w:val="both"/>
        <w:rPr>
          <w:rFonts w:eastAsia="Times New Roman" w:cstheme="minorHAnsi"/>
          <w:lang w:eastAsia="en-GB"/>
        </w:rPr>
      </w:pPr>
      <w:r>
        <w:rPr>
          <w:rFonts w:eastAsia="Times New Roman" w:cstheme="minorHAnsi"/>
          <w:lang w:eastAsia="en-GB"/>
        </w:rPr>
        <w:sym w:font="Symbol" w:char="F0B7"/>
      </w:r>
      <w:r>
        <w:rPr>
          <w:rFonts w:eastAsia="Times New Roman" w:cstheme="minorHAnsi"/>
          <w:lang w:eastAsia="en-GB"/>
        </w:rPr>
        <w:t xml:space="preserve"> Complaints procedures</w:t>
      </w:r>
    </w:p>
    <w:p w14:paraId="4DA4C87A" w14:textId="77777777" w:rsidR="000F457E" w:rsidRDefault="000F457E" w:rsidP="000F457E">
      <w:pPr>
        <w:ind w:left="1440"/>
        <w:jc w:val="both"/>
        <w:rPr>
          <w:rFonts w:eastAsia="Times New Roman" w:cstheme="minorHAnsi"/>
          <w:color w:val="FFFFFF" w:themeColor="background1"/>
          <w:highlight w:val="blue"/>
          <w:lang w:eastAsia="en-GB"/>
        </w:rPr>
      </w:pPr>
      <w:r>
        <w:rPr>
          <w:rFonts w:eastAsia="Times New Roman" w:cstheme="minorHAnsi"/>
          <w:lang w:eastAsia="en-GB"/>
        </w:rPr>
        <w:sym w:font="Symbol" w:char="F0B7"/>
      </w:r>
      <w:r>
        <w:rPr>
          <w:rFonts w:eastAsia="Times New Roman" w:cstheme="minorHAnsi"/>
          <w:lang w:eastAsia="en-GB"/>
        </w:rPr>
        <w:t xml:space="preserve"> Register of member’s interests. </w:t>
      </w:r>
    </w:p>
    <w:p w14:paraId="45ABD27A" w14:textId="77777777" w:rsidR="000F457E" w:rsidRDefault="000F457E" w:rsidP="000F457E">
      <w:pPr>
        <w:pStyle w:val="ListParagraph"/>
        <w:numPr>
          <w:ilvl w:val="0"/>
          <w:numId w:val="10"/>
        </w:numPr>
        <w:jc w:val="both"/>
        <w:rPr>
          <w:rFonts w:cstheme="minorHAnsi"/>
        </w:rPr>
      </w:pPr>
      <w:r>
        <w:rPr>
          <w:rFonts w:eastAsia="Times New Roman" w:cstheme="minorHAnsi"/>
          <w:lang w:eastAsia="en-GB"/>
        </w:rPr>
        <w:t>In order to comply with these obligations an annual public meeting and annual meeting of the qualified proprietors was held in 2019 and 2018 respectively.  Meeting notices and minutes of all meetings held are forwarded to the Scottish Government as is a copy of the Annual Report. Meetings are advertised on the Kyle Fisheries website as well as at the office building in Ardgay. A complaints procedure is included in the policies section of the website and a register of members interests is maintained at the Kyle Fisheries office.</w:t>
      </w:r>
    </w:p>
    <w:p w14:paraId="6BB66A35" w14:textId="77777777" w:rsidR="000F457E" w:rsidRDefault="000F457E" w:rsidP="000F457E">
      <w:pPr>
        <w:jc w:val="both"/>
        <w:rPr>
          <w:rFonts w:cstheme="minorHAnsi"/>
          <w:b/>
        </w:rPr>
      </w:pPr>
      <w:r>
        <w:rPr>
          <w:rFonts w:eastAsia="Times New Roman" w:cstheme="minorHAnsi"/>
          <w:b/>
          <w:lang w:eastAsia="en-GB"/>
        </w:rPr>
        <w:t xml:space="preserve">Future Activities </w:t>
      </w:r>
    </w:p>
    <w:p w14:paraId="501575EE" w14:textId="77777777" w:rsidR="000F457E" w:rsidRDefault="000F457E" w:rsidP="000F457E">
      <w:pPr>
        <w:pStyle w:val="ListParagraph"/>
        <w:numPr>
          <w:ilvl w:val="0"/>
          <w:numId w:val="10"/>
        </w:numPr>
        <w:jc w:val="both"/>
        <w:rPr>
          <w:rFonts w:cstheme="minorHAnsi"/>
        </w:rPr>
      </w:pPr>
      <w:r>
        <w:rPr>
          <w:rFonts w:cstheme="minorHAnsi"/>
        </w:rPr>
        <w:t>Future activities will continue in line with our statutory obligations.</w:t>
      </w:r>
    </w:p>
    <w:p w14:paraId="1FD96860" w14:textId="77777777" w:rsidR="001E0DFD" w:rsidRPr="001E0DFD" w:rsidRDefault="001E0DFD" w:rsidP="001E0DFD">
      <w:pPr>
        <w:pStyle w:val="ListParagraph"/>
        <w:jc w:val="both"/>
        <w:rPr>
          <w:rFonts w:cstheme="minorHAnsi"/>
        </w:rPr>
      </w:pPr>
    </w:p>
    <w:p w14:paraId="2F49D949" w14:textId="5ED58367" w:rsidR="00A93E6F" w:rsidRPr="000A34D8" w:rsidRDefault="00DE50FE" w:rsidP="00AE3D92">
      <w:pPr>
        <w:pStyle w:val="ListParagraph"/>
        <w:numPr>
          <w:ilvl w:val="0"/>
          <w:numId w:val="1"/>
        </w:numPr>
        <w:rPr>
          <w:b/>
        </w:rPr>
      </w:pPr>
      <w:r w:rsidRPr="000A34D8">
        <w:rPr>
          <w:b/>
        </w:rPr>
        <w:t xml:space="preserve">Adoption of draft </w:t>
      </w:r>
      <w:r w:rsidR="001B55E0" w:rsidRPr="000A34D8">
        <w:rPr>
          <w:b/>
        </w:rPr>
        <w:t>accounts to year end 31 May 201</w:t>
      </w:r>
      <w:r w:rsidR="00DF6E49">
        <w:rPr>
          <w:b/>
        </w:rPr>
        <w:t>9</w:t>
      </w:r>
      <w:r w:rsidR="007564CB" w:rsidRPr="000A34D8">
        <w:rPr>
          <w:b/>
        </w:rPr>
        <w:t xml:space="preserve"> – </w:t>
      </w:r>
    </w:p>
    <w:p w14:paraId="2036BD9B" w14:textId="48C1EF74" w:rsidR="00E07A90" w:rsidRDefault="00724671" w:rsidP="00463F3F">
      <w:pPr>
        <w:pStyle w:val="ListParagraph"/>
        <w:ind w:left="510"/>
      </w:pPr>
      <w:r>
        <w:t xml:space="preserve">RDM- </w:t>
      </w:r>
      <w:r w:rsidR="00463F3F">
        <w:t>L</w:t>
      </w:r>
      <w:r>
        <w:t xml:space="preserve">egal </w:t>
      </w:r>
      <w:r w:rsidR="00463F3F">
        <w:t>costs appear high -</w:t>
      </w:r>
      <w:r>
        <w:t>was this for the Invercharron</w:t>
      </w:r>
      <w:r w:rsidR="00463F3F">
        <w:t xml:space="preserve"> ownership discussions? </w:t>
      </w:r>
      <w:r w:rsidR="00E07A90">
        <w:t xml:space="preserve">RS </w:t>
      </w:r>
      <w:r w:rsidR="00463F3F">
        <w:t>replied that it was</w:t>
      </w:r>
      <w:r w:rsidR="00F17B01">
        <w:t xml:space="preserve">. </w:t>
      </w:r>
      <w:r w:rsidR="00463F3F">
        <w:t>The s</w:t>
      </w:r>
      <w:r w:rsidR="00BB3C70">
        <w:t xml:space="preserve">ituation now </w:t>
      </w:r>
      <w:r w:rsidR="00F17B01">
        <w:t>is</w:t>
      </w:r>
      <w:r w:rsidR="00463F3F">
        <w:t xml:space="preserve"> that</w:t>
      </w:r>
      <w:r w:rsidR="00F17B01">
        <w:t xml:space="preserve"> </w:t>
      </w:r>
      <w:r w:rsidR="00BB3C70">
        <w:t xml:space="preserve">discussion between holder of angling rights </w:t>
      </w:r>
      <w:r w:rsidR="00F17B01">
        <w:t xml:space="preserve">and </w:t>
      </w:r>
      <w:r w:rsidR="00BB3C70">
        <w:t>the estate</w:t>
      </w:r>
      <w:r w:rsidR="00463F3F">
        <w:t xml:space="preserve"> are being undertaken</w:t>
      </w:r>
      <w:r w:rsidR="00BB3C70">
        <w:t xml:space="preserve">. </w:t>
      </w:r>
      <w:r w:rsidR="00E07A90">
        <w:t xml:space="preserve">KW </w:t>
      </w:r>
      <w:r w:rsidR="00463F3F">
        <w:t>added that the</w:t>
      </w:r>
      <w:r w:rsidR="00E07A90">
        <w:t xml:space="preserve"> legal contingency in </w:t>
      </w:r>
      <w:r w:rsidR="00463F3F">
        <w:t xml:space="preserve">the budget had been increased in </w:t>
      </w:r>
      <w:r w:rsidR="00E07A90">
        <w:t>anticipation of</w:t>
      </w:r>
      <w:r w:rsidR="00463F3F">
        <w:t xml:space="preserve"> any developing</w:t>
      </w:r>
      <w:r w:rsidR="00E07A90">
        <w:t xml:space="preserve"> legal issues.  RS underst</w:t>
      </w:r>
      <w:r w:rsidR="00463F3F">
        <w:t>ood that the</w:t>
      </w:r>
      <w:r w:rsidR="00E07A90">
        <w:t xml:space="preserve"> chairman of </w:t>
      </w:r>
      <w:r w:rsidR="00463F3F">
        <w:t xml:space="preserve">Lower </w:t>
      </w:r>
      <w:r w:rsidR="00E07A90">
        <w:t>Oykel</w:t>
      </w:r>
      <w:r w:rsidR="00463F3F">
        <w:t xml:space="preserve"> was discussing the issue with representatives of Invercharron Estate.</w:t>
      </w:r>
    </w:p>
    <w:p w14:paraId="155338FB" w14:textId="7234BA84" w:rsidR="00E07A90" w:rsidRPr="001E0DFD" w:rsidRDefault="00B474D7" w:rsidP="00F17B01">
      <w:pPr>
        <w:pStyle w:val="ListParagraph"/>
        <w:ind w:left="510"/>
      </w:pPr>
      <w:r>
        <w:t xml:space="preserve">AH – </w:t>
      </w:r>
      <w:r w:rsidR="00463F3F">
        <w:t>asked for an explanation of</w:t>
      </w:r>
      <w:r w:rsidR="004D20FE">
        <w:t xml:space="preserve"> the a</w:t>
      </w:r>
      <w:r>
        <w:t>quaculture donation</w:t>
      </w:r>
      <w:r w:rsidR="008E0DA4">
        <w:t xml:space="preserve"> </w:t>
      </w:r>
      <w:r w:rsidR="004D20FE">
        <w:t xml:space="preserve">of </w:t>
      </w:r>
      <w:r w:rsidR="008E0DA4">
        <w:t>£24K</w:t>
      </w:r>
      <w:r w:rsidR="00463F3F">
        <w:t>.</w:t>
      </w:r>
      <w:r w:rsidR="008E0DA4">
        <w:t xml:space="preserve"> KW</w:t>
      </w:r>
      <w:r w:rsidR="00463F3F">
        <w:t xml:space="preserve"> replied that</w:t>
      </w:r>
      <w:r>
        <w:t xml:space="preserve"> £12</w:t>
      </w:r>
      <w:r w:rsidR="004D20FE">
        <w:t>K</w:t>
      </w:r>
      <w:r>
        <w:t xml:space="preserve"> </w:t>
      </w:r>
      <w:r w:rsidR="004D20FE">
        <w:t xml:space="preserve">from </w:t>
      </w:r>
      <w:r>
        <w:t>Migdale</w:t>
      </w:r>
      <w:r w:rsidR="004D20FE">
        <w:t xml:space="preserve"> and</w:t>
      </w:r>
      <w:r>
        <w:t xml:space="preserve"> £12</w:t>
      </w:r>
      <w:r w:rsidR="004D20FE">
        <w:t xml:space="preserve">K from </w:t>
      </w:r>
      <w:r>
        <w:t xml:space="preserve">Cooke </w:t>
      </w:r>
      <w:r w:rsidR="00463F3F">
        <w:t xml:space="preserve">had been donated in support of the trapping exercise at the Merkland end of Loch Shin. Any data on fish captured, potential escapees etc. would be publicly available. </w:t>
      </w:r>
    </w:p>
    <w:p w14:paraId="6956BD76" w14:textId="772A9636" w:rsidR="00C02C1B" w:rsidRPr="00964237" w:rsidRDefault="00463F3F" w:rsidP="00F17B01">
      <w:pPr>
        <w:pStyle w:val="ListParagraph"/>
        <w:ind w:left="510"/>
        <w:rPr>
          <w:bCs/>
          <w:iCs/>
        </w:rPr>
      </w:pPr>
      <w:r>
        <w:rPr>
          <w:bCs/>
          <w:iCs/>
        </w:rPr>
        <w:t>The a</w:t>
      </w:r>
      <w:r w:rsidR="00087A73">
        <w:rPr>
          <w:bCs/>
          <w:iCs/>
        </w:rPr>
        <w:t xml:space="preserve">ccounts </w:t>
      </w:r>
      <w:r>
        <w:rPr>
          <w:bCs/>
          <w:iCs/>
        </w:rPr>
        <w:t>were a</w:t>
      </w:r>
      <w:r w:rsidR="001307C5">
        <w:rPr>
          <w:bCs/>
          <w:iCs/>
        </w:rPr>
        <w:t>dopted.</w:t>
      </w:r>
    </w:p>
    <w:p w14:paraId="39AC0E1D" w14:textId="44CD09AB" w:rsidR="00CC06FC" w:rsidRPr="000A34D8" w:rsidRDefault="00CC06FC" w:rsidP="00CC06FC">
      <w:pPr>
        <w:pStyle w:val="ListParagraph"/>
        <w:numPr>
          <w:ilvl w:val="0"/>
          <w:numId w:val="1"/>
        </w:numPr>
        <w:rPr>
          <w:b/>
        </w:rPr>
      </w:pPr>
      <w:r w:rsidRPr="000A34D8">
        <w:rPr>
          <w:b/>
        </w:rPr>
        <w:t>AO</w:t>
      </w:r>
      <w:r w:rsidR="00BA2601" w:rsidRPr="000A34D8">
        <w:rPr>
          <w:b/>
        </w:rPr>
        <w:t>C</w:t>
      </w:r>
      <w:r w:rsidRPr="000A34D8">
        <w:rPr>
          <w:b/>
        </w:rPr>
        <w:t>B</w:t>
      </w:r>
      <w:r w:rsidR="00261BBD" w:rsidRPr="000A34D8">
        <w:rPr>
          <w:b/>
        </w:rPr>
        <w:t xml:space="preserve"> - </w:t>
      </w:r>
    </w:p>
    <w:p w14:paraId="08923875" w14:textId="7331C393" w:rsidR="00FD5592" w:rsidRDefault="00087A73" w:rsidP="00EA1AFA">
      <w:pPr>
        <w:pStyle w:val="ListParagraph"/>
        <w:ind w:left="510"/>
      </w:pPr>
      <w:r>
        <w:t>JH proposed p</w:t>
      </w:r>
      <w:r w:rsidR="00964237">
        <w:t>aperless meetings</w:t>
      </w:r>
      <w:r w:rsidR="00354C25">
        <w:t xml:space="preserve">.  </w:t>
      </w:r>
      <w:r w:rsidR="00A54F40">
        <w:t>SM</w:t>
      </w:r>
      <w:r w:rsidR="00354C25">
        <w:t xml:space="preserve"> advised that he has a </w:t>
      </w:r>
      <w:r w:rsidR="00A54F40">
        <w:t xml:space="preserve">100” screen and new projector. </w:t>
      </w:r>
    </w:p>
    <w:p w14:paraId="78CB2ED5" w14:textId="671877F0" w:rsidR="00A54F40" w:rsidRDefault="00354C25" w:rsidP="00EA1AFA">
      <w:pPr>
        <w:pStyle w:val="ListParagraph"/>
        <w:ind w:left="510"/>
      </w:pPr>
      <w:r>
        <w:t xml:space="preserve">RS </w:t>
      </w:r>
      <w:r w:rsidR="00540F3B">
        <w:t xml:space="preserve">advised to make meeting more </w:t>
      </w:r>
      <w:r w:rsidR="00C65390">
        <w:t>vibrant</w:t>
      </w:r>
      <w:r w:rsidR="00540F3B">
        <w:t xml:space="preserve"> and attract </w:t>
      </w:r>
      <w:r w:rsidR="0077284F">
        <w:t>more to attend</w:t>
      </w:r>
      <w:r w:rsidR="00EA1AFA">
        <w:t>,</w:t>
      </w:r>
      <w:r w:rsidR="0077284F">
        <w:t xml:space="preserve"> we should </w:t>
      </w:r>
      <w:r w:rsidR="00463F3F">
        <w:t>invite</w:t>
      </w:r>
      <w:r w:rsidR="0077284F">
        <w:t xml:space="preserve"> </w:t>
      </w:r>
      <w:r w:rsidR="00463F3F">
        <w:t>guest</w:t>
      </w:r>
      <w:r w:rsidR="00A54F40">
        <w:t xml:space="preserve"> speakers</w:t>
      </w:r>
      <w:r w:rsidR="00463F3F">
        <w:t xml:space="preserve"> to future meetings</w:t>
      </w:r>
      <w:r w:rsidR="0077284F">
        <w:t>.</w:t>
      </w:r>
    </w:p>
    <w:p w14:paraId="40B9C4A5" w14:textId="2B3C3BE8" w:rsidR="00B7167B" w:rsidRDefault="00B7167B" w:rsidP="00EA1AFA">
      <w:pPr>
        <w:pStyle w:val="ListParagraph"/>
        <w:ind w:left="510"/>
      </w:pPr>
    </w:p>
    <w:p w14:paraId="18A5A9C7" w14:textId="77777777" w:rsidR="00964237" w:rsidRDefault="00964237" w:rsidP="00FD5592">
      <w:pPr>
        <w:pStyle w:val="ListParagraph"/>
        <w:ind w:left="870"/>
      </w:pPr>
    </w:p>
    <w:p w14:paraId="2D95DC54" w14:textId="40D09F48" w:rsidR="00F47E88" w:rsidRPr="000A34D8" w:rsidRDefault="00F47E88" w:rsidP="00F47E88">
      <w:pPr>
        <w:rPr>
          <w:b/>
        </w:rPr>
      </w:pPr>
      <w:r w:rsidRPr="000A34D8">
        <w:rPr>
          <w:b/>
        </w:rPr>
        <w:t>Actions C/</w:t>
      </w:r>
      <w:r w:rsidR="00DE4E1F" w:rsidRPr="000A34D8">
        <w:rPr>
          <w:b/>
        </w:rPr>
        <w:t>Fwd.</w:t>
      </w:r>
    </w:p>
    <w:p w14:paraId="39AC0E1F" w14:textId="77777777" w:rsidR="00003FAA" w:rsidRDefault="00003FAA" w:rsidP="00AE3D92">
      <w:pPr>
        <w:pStyle w:val="ListParagraph"/>
        <w:ind w:left="870"/>
      </w:pPr>
      <w:r>
        <w:tab/>
      </w:r>
      <w:r>
        <w:tab/>
      </w:r>
    </w:p>
    <w:tbl>
      <w:tblPr>
        <w:tblStyle w:val="TableGrid"/>
        <w:tblW w:w="0" w:type="auto"/>
        <w:tblLook w:val="04A0" w:firstRow="1" w:lastRow="0" w:firstColumn="1" w:lastColumn="0" w:noHBand="0" w:noVBand="1"/>
      </w:tblPr>
      <w:tblGrid>
        <w:gridCol w:w="666"/>
        <w:gridCol w:w="976"/>
        <w:gridCol w:w="3751"/>
        <w:gridCol w:w="1804"/>
        <w:gridCol w:w="1445"/>
      </w:tblGrid>
      <w:tr w:rsidR="00C51525" w14:paraId="4ACCBF52" w14:textId="77777777" w:rsidTr="00042786">
        <w:tc>
          <w:tcPr>
            <w:tcW w:w="666" w:type="dxa"/>
            <w:vAlign w:val="center"/>
          </w:tcPr>
          <w:p w14:paraId="26920F31" w14:textId="77777777" w:rsidR="00C51525" w:rsidRDefault="00C51525" w:rsidP="00042786">
            <w:pPr>
              <w:jc w:val="center"/>
            </w:pPr>
            <w:r>
              <w:t>No</w:t>
            </w:r>
          </w:p>
        </w:tc>
        <w:tc>
          <w:tcPr>
            <w:tcW w:w="976" w:type="dxa"/>
            <w:vAlign w:val="center"/>
          </w:tcPr>
          <w:p w14:paraId="4C5D88C4" w14:textId="77777777" w:rsidR="00C51525" w:rsidRDefault="00C51525" w:rsidP="00042786">
            <w:pPr>
              <w:jc w:val="center"/>
            </w:pPr>
            <w:r>
              <w:t>Who</w:t>
            </w:r>
          </w:p>
        </w:tc>
        <w:tc>
          <w:tcPr>
            <w:tcW w:w="3751" w:type="dxa"/>
            <w:vAlign w:val="center"/>
          </w:tcPr>
          <w:p w14:paraId="3B54A95C" w14:textId="77777777" w:rsidR="00C51525" w:rsidRDefault="00C51525" w:rsidP="00042786">
            <w:pPr>
              <w:jc w:val="center"/>
            </w:pPr>
            <w:r>
              <w:t>Action</w:t>
            </w:r>
          </w:p>
        </w:tc>
        <w:tc>
          <w:tcPr>
            <w:tcW w:w="1804" w:type="dxa"/>
            <w:vAlign w:val="center"/>
          </w:tcPr>
          <w:p w14:paraId="39F20650" w14:textId="77777777" w:rsidR="00C51525" w:rsidRDefault="00C51525" w:rsidP="00042786">
            <w:pPr>
              <w:jc w:val="center"/>
            </w:pPr>
            <w:r>
              <w:t>Raised</w:t>
            </w:r>
          </w:p>
        </w:tc>
        <w:tc>
          <w:tcPr>
            <w:tcW w:w="1445" w:type="dxa"/>
            <w:vAlign w:val="center"/>
          </w:tcPr>
          <w:p w14:paraId="14E90761" w14:textId="77777777" w:rsidR="00C51525" w:rsidRDefault="00C51525" w:rsidP="00042786">
            <w:pPr>
              <w:jc w:val="center"/>
            </w:pPr>
            <w:r>
              <w:t>Completed by</w:t>
            </w:r>
          </w:p>
        </w:tc>
      </w:tr>
      <w:tr w:rsidR="00C51525" w14:paraId="271DC1D2" w14:textId="77777777" w:rsidTr="00042786">
        <w:tc>
          <w:tcPr>
            <w:tcW w:w="666" w:type="dxa"/>
            <w:shd w:val="clear" w:color="auto" w:fill="auto"/>
          </w:tcPr>
          <w:p w14:paraId="5AFFC4CB" w14:textId="275C6700" w:rsidR="00C51525" w:rsidRDefault="00C51525" w:rsidP="00042786">
            <w:r>
              <w:lastRenderedPageBreak/>
              <w:t>1</w:t>
            </w:r>
          </w:p>
        </w:tc>
        <w:tc>
          <w:tcPr>
            <w:tcW w:w="976" w:type="dxa"/>
            <w:shd w:val="clear" w:color="auto" w:fill="auto"/>
          </w:tcPr>
          <w:p w14:paraId="212D983C" w14:textId="77777777" w:rsidR="00C51525" w:rsidRDefault="00C51525" w:rsidP="00042786">
            <w:r>
              <w:t>KW</w:t>
            </w:r>
          </w:p>
        </w:tc>
        <w:tc>
          <w:tcPr>
            <w:tcW w:w="3751" w:type="dxa"/>
            <w:shd w:val="clear" w:color="auto" w:fill="auto"/>
          </w:tcPr>
          <w:p w14:paraId="6D35EC44" w14:textId="77777777" w:rsidR="00C51525" w:rsidRDefault="00C51525" w:rsidP="00042786">
            <w:r>
              <w:t>Annually review the hatchery operation and relevance. Action KW</w:t>
            </w:r>
          </w:p>
        </w:tc>
        <w:tc>
          <w:tcPr>
            <w:tcW w:w="1804" w:type="dxa"/>
            <w:shd w:val="clear" w:color="auto" w:fill="auto"/>
          </w:tcPr>
          <w:p w14:paraId="48B5EEEE" w14:textId="77777777" w:rsidR="00C51525" w:rsidRDefault="00C51525" w:rsidP="00042786">
            <w:r>
              <w:t>October 2018</w:t>
            </w:r>
          </w:p>
        </w:tc>
        <w:tc>
          <w:tcPr>
            <w:tcW w:w="1445" w:type="dxa"/>
            <w:shd w:val="clear" w:color="auto" w:fill="auto"/>
          </w:tcPr>
          <w:p w14:paraId="069BEE9D" w14:textId="77777777" w:rsidR="00C51525" w:rsidRDefault="00C51525" w:rsidP="00042786">
            <w:r>
              <w:t>Ongoing</w:t>
            </w:r>
          </w:p>
        </w:tc>
      </w:tr>
      <w:tr w:rsidR="00C51525" w14:paraId="44EC18B8" w14:textId="77777777" w:rsidTr="00042786">
        <w:tc>
          <w:tcPr>
            <w:tcW w:w="666" w:type="dxa"/>
            <w:shd w:val="clear" w:color="auto" w:fill="auto"/>
          </w:tcPr>
          <w:p w14:paraId="3BA16563" w14:textId="697FE698" w:rsidR="00C51525" w:rsidRDefault="001B68E1" w:rsidP="00042786">
            <w:r>
              <w:t>2</w:t>
            </w:r>
          </w:p>
        </w:tc>
        <w:tc>
          <w:tcPr>
            <w:tcW w:w="976" w:type="dxa"/>
            <w:shd w:val="clear" w:color="auto" w:fill="auto"/>
          </w:tcPr>
          <w:p w14:paraId="39BB6779" w14:textId="77777777" w:rsidR="00C51525" w:rsidRDefault="00C51525" w:rsidP="00042786">
            <w:r>
              <w:t>JH</w:t>
            </w:r>
          </w:p>
        </w:tc>
        <w:tc>
          <w:tcPr>
            <w:tcW w:w="3751" w:type="dxa"/>
            <w:shd w:val="clear" w:color="auto" w:fill="auto"/>
          </w:tcPr>
          <w:p w14:paraId="657D64FF" w14:textId="77777777" w:rsidR="00C51525" w:rsidRDefault="00C51525" w:rsidP="00042786">
            <w:r>
              <w:t>Asset register value of netting and fishing rights clarify with accountant.  Action JH – in hand</w:t>
            </w:r>
          </w:p>
        </w:tc>
        <w:tc>
          <w:tcPr>
            <w:tcW w:w="1804" w:type="dxa"/>
            <w:shd w:val="clear" w:color="auto" w:fill="auto"/>
          </w:tcPr>
          <w:p w14:paraId="169874E3" w14:textId="77777777" w:rsidR="00C51525" w:rsidRDefault="00C51525" w:rsidP="00042786">
            <w:r>
              <w:t>October 2018</w:t>
            </w:r>
          </w:p>
        </w:tc>
        <w:tc>
          <w:tcPr>
            <w:tcW w:w="1445" w:type="dxa"/>
            <w:shd w:val="clear" w:color="auto" w:fill="auto"/>
          </w:tcPr>
          <w:p w14:paraId="71C8F1AB" w14:textId="1D81DFBA" w:rsidR="00C51525" w:rsidRDefault="00C51525" w:rsidP="00042786">
            <w:r>
              <w:t>December 201</w:t>
            </w:r>
            <w:r w:rsidR="001B68E1">
              <w:t>9</w:t>
            </w:r>
          </w:p>
        </w:tc>
      </w:tr>
      <w:tr w:rsidR="00C51525" w14:paraId="3BFF3ECF" w14:textId="77777777" w:rsidTr="00042786">
        <w:tc>
          <w:tcPr>
            <w:tcW w:w="666" w:type="dxa"/>
            <w:shd w:val="clear" w:color="auto" w:fill="auto"/>
          </w:tcPr>
          <w:p w14:paraId="35F5C05D" w14:textId="22B48549" w:rsidR="00C51525" w:rsidRDefault="00E52F6A" w:rsidP="00042786">
            <w:r>
              <w:t>3</w:t>
            </w:r>
          </w:p>
        </w:tc>
        <w:tc>
          <w:tcPr>
            <w:tcW w:w="976" w:type="dxa"/>
            <w:shd w:val="clear" w:color="auto" w:fill="auto"/>
          </w:tcPr>
          <w:p w14:paraId="2FE17339" w14:textId="77777777" w:rsidR="00C51525" w:rsidRDefault="00C51525" w:rsidP="00042786">
            <w:r>
              <w:t>JH</w:t>
            </w:r>
          </w:p>
        </w:tc>
        <w:tc>
          <w:tcPr>
            <w:tcW w:w="3751" w:type="dxa"/>
            <w:shd w:val="clear" w:color="auto" w:fill="auto"/>
          </w:tcPr>
          <w:p w14:paraId="770E1776" w14:textId="026A173E" w:rsidR="00C51525" w:rsidRDefault="00C51525" w:rsidP="00042786">
            <w:r>
              <w:t xml:space="preserve">Insurance against tax investigation.  Check with NFU.  Action JH – we are not insured against Tax investigation. Annual review in October will request quote, RS advised wise to do. Action JH. </w:t>
            </w:r>
          </w:p>
        </w:tc>
        <w:tc>
          <w:tcPr>
            <w:tcW w:w="1804" w:type="dxa"/>
            <w:shd w:val="clear" w:color="auto" w:fill="auto"/>
          </w:tcPr>
          <w:p w14:paraId="72A70E30" w14:textId="77777777" w:rsidR="00C51525" w:rsidRDefault="00C51525" w:rsidP="00042786">
            <w:r>
              <w:t>October 2018</w:t>
            </w:r>
          </w:p>
        </w:tc>
        <w:tc>
          <w:tcPr>
            <w:tcW w:w="1445" w:type="dxa"/>
            <w:shd w:val="clear" w:color="auto" w:fill="auto"/>
          </w:tcPr>
          <w:p w14:paraId="0DD83F40" w14:textId="15DA3421" w:rsidR="00C51525" w:rsidRDefault="00C51525" w:rsidP="00042786">
            <w:r>
              <w:t>December 201</w:t>
            </w:r>
            <w:r w:rsidR="00E52F6A">
              <w:t>9</w:t>
            </w:r>
          </w:p>
        </w:tc>
      </w:tr>
      <w:tr w:rsidR="00C51332" w14:paraId="3DAA0A81" w14:textId="77777777" w:rsidTr="00042786">
        <w:tc>
          <w:tcPr>
            <w:tcW w:w="666" w:type="dxa"/>
            <w:shd w:val="clear" w:color="auto" w:fill="auto"/>
          </w:tcPr>
          <w:p w14:paraId="548D73DA" w14:textId="3938C57B" w:rsidR="00C51332" w:rsidRDefault="00C51332" w:rsidP="00042786"/>
        </w:tc>
        <w:tc>
          <w:tcPr>
            <w:tcW w:w="976" w:type="dxa"/>
            <w:shd w:val="clear" w:color="auto" w:fill="auto"/>
          </w:tcPr>
          <w:p w14:paraId="51A26582" w14:textId="240A4654" w:rsidR="00C51332" w:rsidRDefault="00C51332" w:rsidP="00042786"/>
        </w:tc>
        <w:tc>
          <w:tcPr>
            <w:tcW w:w="3751" w:type="dxa"/>
            <w:shd w:val="clear" w:color="auto" w:fill="auto"/>
          </w:tcPr>
          <w:p w14:paraId="5E1D1AF8" w14:textId="77777777" w:rsidR="00C51332" w:rsidRDefault="00C51332" w:rsidP="00042786"/>
        </w:tc>
        <w:tc>
          <w:tcPr>
            <w:tcW w:w="1804" w:type="dxa"/>
            <w:shd w:val="clear" w:color="auto" w:fill="auto"/>
          </w:tcPr>
          <w:p w14:paraId="1DA087C5" w14:textId="77777777" w:rsidR="00C51332" w:rsidRDefault="00C51332" w:rsidP="00042786"/>
        </w:tc>
        <w:tc>
          <w:tcPr>
            <w:tcW w:w="1445" w:type="dxa"/>
            <w:shd w:val="clear" w:color="auto" w:fill="auto"/>
          </w:tcPr>
          <w:p w14:paraId="328544B8" w14:textId="77777777" w:rsidR="00C51332" w:rsidRDefault="00C51332" w:rsidP="00042786"/>
        </w:tc>
      </w:tr>
    </w:tbl>
    <w:p w14:paraId="39AC0E25" w14:textId="77777777" w:rsidR="00CC06FC" w:rsidRDefault="00CC06FC"/>
    <w:p w14:paraId="545F86B5" w14:textId="23BD1223" w:rsidR="00EB40BF" w:rsidRDefault="001E0DFD" w:rsidP="008217D2">
      <w:pPr>
        <w:pStyle w:val="ListParagraph"/>
        <w:ind w:left="0"/>
      </w:pPr>
      <w:r>
        <w:t>Meeting Closed</w:t>
      </w:r>
      <w:r w:rsidR="008217D2">
        <w:t>:</w:t>
      </w:r>
      <w:r>
        <w:t xml:space="preserve"> </w:t>
      </w:r>
      <w:r w:rsidR="001307C5">
        <w:t>10.05am</w:t>
      </w:r>
    </w:p>
    <w:p w14:paraId="276D8269" w14:textId="2F30CABD" w:rsidR="008217D2" w:rsidRDefault="008217D2" w:rsidP="008217D2">
      <w:pPr>
        <w:pStyle w:val="ListParagraph"/>
        <w:ind w:left="0"/>
      </w:pPr>
    </w:p>
    <w:p w14:paraId="7DDE9145" w14:textId="5D9B491A" w:rsidR="008217D2" w:rsidRDefault="008217D2" w:rsidP="008217D2">
      <w:pPr>
        <w:pStyle w:val="ListParagraph"/>
        <w:ind w:left="0"/>
      </w:pPr>
      <w:r>
        <w:t>Date &amp; time of next meeting: TBA</w:t>
      </w:r>
    </w:p>
    <w:p w14:paraId="640BBA92" w14:textId="3101581E" w:rsidR="008217D2" w:rsidRDefault="008217D2" w:rsidP="001E0DFD">
      <w:pPr>
        <w:pStyle w:val="ListParagraph"/>
        <w:ind w:left="870"/>
      </w:pPr>
    </w:p>
    <w:p w14:paraId="1B9E5204" w14:textId="77777777" w:rsidR="008217D2" w:rsidRDefault="008217D2" w:rsidP="001E0DFD">
      <w:pPr>
        <w:pStyle w:val="ListParagraph"/>
        <w:ind w:left="870"/>
        <w:rPr>
          <w:rFonts w:cstheme="minorHAnsi"/>
        </w:rPr>
      </w:pPr>
    </w:p>
    <w:p w14:paraId="39AC0E28" w14:textId="77777777" w:rsidR="00CC06FC" w:rsidRDefault="00CC06FC"/>
    <w:sectPr w:rsidR="00CC0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16942"/>
    <w:multiLevelType w:val="hybridMultilevel"/>
    <w:tmpl w:val="8D6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26990"/>
    <w:multiLevelType w:val="hybridMultilevel"/>
    <w:tmpl w:val="1EAE51CA"/>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593A5FAD"/>
    <w:multiLevelType w:val="hybridMultilevel"/>
    <w:tmpl w:val="08226862"/>
    <w:lvl w:ilvl="0" w:tplc="3CF4AC06">
      <w:start w:val="1"/>
      <w:numFmt w:val="decimal"/>
      <w:lvlText w:val="%1."/>
      <w:lvlJc w:val="left"/>
      <w:pPr>
        <w:ind w:left="510" w:hanging="51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5722A3"/>
    <w:multiLevelType w:val="hybridMultilevel"/>
    <w:tmpl w:val="EE00292E"/>
    <w:lvl w:ilvl="0" w:tplc="08090001">
      <w:start w:val="1"/>
      <w:numFmt w:val="bullet"/>
      <w:lvlText w:val=""/>
      <w:lvlJc w:val="left"/>
      <w:pPr>
        <w:ind w:left="1020" w:hanging="510"/>
      </w:pPr>
      <w:rPr>
        <w:rFonts w:ascii="Symbol" w:hAnsi="Symbol"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 w15:restartNumberingAfterBreak="0">
    <w:nsid w:val="69786E38"/>
    <w:multiLevelType w:val="hybridMultilevel"/>
    <w:tmpl w:val="4F806526"/>
    <w:lvl w:ilvl="0" w:tplc="08090013">
      <w:start w:val="1"/>
      <w:numFmt w:val="upperRoman"/>
      <w:lvlText w:val="%1."/>
      <w:lvlJc w:val="righ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5" w15:restartNumberingAfterBreak="0">
    <w:nsid w:val="6DC90192"/>
    <w:multiLevelType w:val="hybridMultilevel"/>
    <w:tmpl w:val="C13EF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DC76AE"/>
    <w:multiLevelType w:val="hybridMultilevel"/>
    <w:tmpl w:val="AA18C9AE"/>
    <w:lvl w:ilvl="0" w:tplc="3CF4AC06">
      <w:start w:val="1"/>
      <w:numFmt w:val="decimal"/>
      <w:lvlText w:val="%1."/>
      <w:lvlJc w:val="left"/>
      <w:pPr>
        <w:ind w:left="870" w:hanging="51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54EBE"/>
    <w:multiLevelType w:val="hybridMultilevel"/>
    <w:tmpl w:val="5EBE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B600F"/>
    <w:multiLevelType w:val="hybridMultilevel"/>
    <w:tmpl w:val="178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B0678"/>
    <w:multiLevelType w:val="hybridMultilevel"/>
    <w:tmpl w:val="B9A21E02"/>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4"/>
  </w:num>
  <w:num w:numId="6">
    <w:abstractNumId w:val="8"/>
  </w:num>
  <w:num w:numId="7">
    <w:abstractNumId w:val="7"/>
  </w:num>
  <w:num w:numId="8">
    <w:abstractNumId w:val="0"/>
  </w:num>
  <w:num w:numId="9">
    <w:abstractNumId w:val="8"/>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C"/>
    <w:rsid w:val="00003FAA"/>
    <w:rsid w:val="000041AF"/>
    <w:rsid w:val="00004D9C"/>
    <w:rsid w:val="00016342"/>
    <w:rsid w:val="00022FCF"/>
    <w:rsid w:val="00036453"/>
    <w:rsid w:val="0005323C"/>
    <w:rsid w:val="00062601"/>
    <w:rsid w:val="00074FF1"/>
    <w:rsid w:val="00087A73"/>
    <w:rsid w:val="000A34D8"/>
    <w:rsid w:val="000B1CEF"/>
    <w:rsid w:val="000B5341"/>
    <w:rsid w:val="000C285E"/>
    <w:rsid w:val="000C44BD"/>
    <w:rsid w:val="000C5CEA"/>
    <w:rsid w:val="000D57EE"/>
    <w:rsid w:val="000E176A"/>
    <w:rsid w:val="000F03DC"/>
    <w:rsid w:val="000F457E"/>
    <w:rsid w:val="000F6BBC"/>
    <w:rsid w:val="00107035"/>
    <w:rsid w:val="0011449A"/>
    <w:rsid w:val="0011728C"/>
    <w:rsid w:val="00125F1F"/>
    <w:rsid w:val="0013052C"/>
    <w:rsid w:val="001307C5"/>
    <w:rsid w:val="00132837"/>
    <w:rsid w:val="0013680C"/>
    <w:rsid w:val="0015626C"/>
    <w:rsid w:val="00191893"/>
    <w:rsid w:val="001971D8"/>
    <w:rsid w:val="001A0D2F"/>
    <w:rsid w:val="001B55E0"/>
    <w:rsid w:val="001B68E1"/>
    <w:rsid w:val="001D7559"/>
    <w:rsid w:val="001E0DFD"/>
    <w:rsid w:val="001E5659"/>
    <w:rsid w:val="001F4C2F"/>
    <w:rsid w:val="00214D13"/>
    <w:rsid w:val="002210C4"/>
    <w:rsid w:val="00245577"/>
    <w:rsid w:val="00255FB8"/>
    <w:rsid w:val="00256123"/>
    <w:rsid w:val="00261BBD"/>
    <w:rsid w:val="00270B93"/>
    <w:rsid w:val="00273790"/>
    <w:rsid w:val="002745B5"/>
    <w:rsid w:val="00277D0A"/>
    <w:rsid w:val="002E08E9"/>
    <w:rsid w:val="002E7397"/>
    <w:rsid w:val="00312250"/>
    <w:rsid w:val="00327DC9"/>
    <w:rsid w:val="00354C25"/>
    <w:rsid w:val="00360ED4"/>
    <w:rsid w:val="003773D7"/>
    <w:rsid w:val="00383855"/>
    <w:rsid w:val="00391AAC"/>
    <w:rsid w:val="00396DA0"/>
    <w:rsid w:val="003A1FCB"/>
    <w:rsid w:val="003A6C3E"/>
    <w:rsid w:val="003C0933"/>
    <w:rsid w:val="003D3781"/>
    <w:rsid w:val="003F091E"/>
    <w:rsid w:val="003F1885"/>
    <w:rsid w:val="00400F43"/>
    <w:rsid w:val="0041557F"/>
    <w:rsid w:val="004365EB"/>
    <w:rsid w:val="0045006F"/>
    <w:rsid w:val="00463F3F"/>
    <w:rsid w:val="00470997"/>
    <w:rsid w:val="0047668C"/>
    <w:rsid w:val="00493317"/>
    <w:rsid w:val="00494A85"/>
    <w:rsid w:val="004C2D30"/>
    <w:rsid w:val="004D20FE"/>
    <w:rsid w:val="004D729D"/>
    <w:rsid w:val="004D7EAF"/>
    <w:rsid w:val="00506EC0"/>
    <w:rsid w:val="0053089A"/>
    <w:rsid w:val="00540F3B"/>
    <w:rsid w:val="00553C58"/>
    <w:rsid w:val="00554826"/>
    <w:rsid w:val="00566584"/>
    <w:rsid w:val="00585CF0"/>
    <w:rsid w:val="005875A2"/>
    <w:rsid w:val="005D046F"/>
    <w:rsid w:val="005D2140"/>
    <w:rsid w:val="0060519E"/>
    <w:rsid w:val="006064EC"/>
    <w:rsid w:val="00607389"/>
    <w:rsid w:val="00611B9D"/>
    <w:rsid w:val="00655A90"/>
    <w:rsid w:val="00657FFC"/>
    <w:rsid w:val="006600BE"/>
    <w:rsid w:val="00670C2E"/>
    <w:rsid w:val="006810B9"/>
    <w:rsid w:val="006A2100"/>
    <w:rsid w:val="006A4D07"/>
    <w:rsid w:val="006B196F"/>
    <w:rsid w:val="006C131C"/>
    <w:rsid w:val="006E552F"/>
    <w:rsid w:val="00724671"/>
    <w:rsid w:val="00736049"/>
    <w:rsid w:val="0075166E"/>
    <w:rsid w:val="007564CB"/>
    <w:rsid w:val="00764649"/>
    <w:rsid w:val="007652D3"/>
    <w:rsid w:val="0077087E"/>
    <w:rsid w:val="0077284F"/>
    <w:rsid w:val="007735CC"/>
    <w:rsid w:val="007757B9"/>
    <w:rsid w:val="00782971"/>
    <w:rsid w:val="007847A6"/>
    <w:rsid w:val="00792FBB"/>
    <w:rsid w:val="007A1074"/>
    <w:rsid w:val="007B1571"/>
    <w:rsid w:val="007F7DF0"/>
    <w:rsid w:val="008020E8"/>
    <w:rsid w:val="008159E4"/>
    <w:rsid w:val="008217D2"/>
    <w:rsid w:val="008277D8"/>
    <w:rsid w:val="00831A59"/>
    <w:rsid w:val="00871FA4"/>
    <w:rsid w:val="008756EA"/>
    <w:rsid w:val="008900B0"/>
    <w:rsid w:val="008A4BF3"/>
    <w:rsid w:val="008A5A3C"/>
    <w:rsid w:val="008B36CE"/>
    <w:rsid w:val="008C4413"/>
    <w:rsid w:val="008D1CEA"/>
    <w:rsid w:val="008D5A2F"/>
    <w:rsid w:val="008E05FD"/>
    <w:rsid w:val="008E0DA4"/>
    <w:rsid w:val="008F4E67"/>
    <w:rsid w:val="00901771"/>
    <w:rsid w:val="00906261"/>
    <w:rsid w:val="00914D0B"/>
    <w:rsid w:val="00925B69"/>
    <w:rsid w:val="00926D85"/>
    <w:rsid w:val="00964237"/>
    <w:rsid w:val="00970E44"/>
    <w:rsid w:val="00982B98"/>
    <w:rsid w:val="009918F4"/>
    <w:rsid w:val="009A1EA2"/>
    <w:rsid w:val="009A38AF"/>
    <w:rsid w:val="009A43D8"/>
    <w:rsid w:val="009A6012"/>
    <w:rsid w:val="009B180F"/>
    <w:rsid w:val="009C3CB7"/>
    <w:rsid w:val="009C475B"/>
    <w:rsid w:val="009C4BDB"/>
    <w:rsid w:val="009D0CD6"/>
    <w:rsid w:val="009D4BBE"/>
    <w:rsid w:val="009D72E8"/>
    <w:rsid w:val="009E3CA3"/>
    <w:rsid w:val="009F0A4E"/>
    <w:rsid w:val="009F16CB"/>
    <w:rsid w:val="009F3A1E"/>
    <w:rsid w:val="00A03FC3"/>
    <w:rsid w:val="00A12B88"/>
    <w:rsid w:val="00A14051"/>
    <w:rsid w:val="00A274FE"/>
    <w:rsid w:val="00A31B87"/>
    <w:rsid w:val="00A53CE8"/>
    <w:rsid w:val="00A54F40"/>
    <w:rsid w:val="00A625EB"/>
    <w:rsid w:val="00A667CB"/>
    <w:rsid w:val="00A74540"/>
    <w:rsid w:val="00A93E6F"/>
    <w:rsid w:val="00A94A9D"/>
    <w:rsid w:val="00AA7CAB"/>
    <w:rsid w:val="00AD7669"/>
    <w:rsid w:val="00AE3BB6"/>
    <w:rsid w:val="00AE3D92"/>
    <w:rsid w:val="00AE7E5F"/>
    <w:rsid w:val="00AF3D35"/>
    <w:rsid w:val="00AF59F2"/>
    <w:rsid w:val="00B03AD5"/>
    <w:rsid w:val="00B1572E"/>
    <w:rsid w:val="00B21282"/>
    <w:rsid w:val="00B43053"/>
    <w:rsid w:val="00B474D7"/>
    <w:rsid w:val="00B64D4E"/>
    <w:rsid w:val="00B6792F"/>
    <w:rsid w:val="00B7167B"/>
    <w:rsid w:val="00B72024"/>
    <w:rsid w:val="00B72342"/>
    <w:rsid w:val="00BA2601"/>
    <w:rsid w:val="00BB3C70"/>
    <w:rsid w:val="00BC4158"/>
    <w:rsid w:val="00BC5800"/>
    <w:rsid w:val="00BD05F9"/>
    <w:rsid w:val="00BD64A3"/>
    <w:rsid w:val="00BE0ABD"/>
    <w:rsid w:val="00BE2895"/>
    <w:rsid w:val="00BE4B12"/>
    <w:rsid w:val="00BF29DC"/>
    <w:rsid w:val="00BF44EB"/>
    <w:rsid w:val="00BF64C9"/>
    <w:rsid w:val="00C0166A"/>
    <w:rsid w:val="00C01942"/>
    <w:rsid w:val="00C02C1B"/>
    <w:rsid w:val="00C0798D"/>
    <w:rsid w:val="00C26DB6"/>
    <w:rsid w:val="00C43548"/>
    <w:rsid w:val="00C51332"/>
    <w:rsid w:val="00C51525"/>
    <w:rsid w:val="00C51D1C"/>
    <w:rsid w:val="00C65390"/>
    <w:rsid w:val="00C65AB3"/>
    <w:rsid w:val="00C660F1"/>
    <w:rsid w:val="00C84750"/>
    <w:rsid w:val="00CC06FC"/>
    <w:rsid w:val="00CD2DE9"/>
    <w:rsid w:val="00CE1614"/>
    <w:rsid w:val="00CE7EC4"/>
    <w:rsid w:val="00D156EE"/>
    <w:rsid w:val="00D36338"/>
    <w:rsid w:val="00D400C9"/>
    <w:rsid w:val="00D54D2D"/>
    <w:rsid w:val="00D554E1"/>
    <w:rsid w:val="00D557EF"/>
    <w:rsid w:val="00D67E63"/>
    <w:rsid w:val="00D72E82"/>
    <w:rsid w:val="00D85C7F"/>
    <w:rsid w:val="00D9002E"/>
    <w:rsid w:val="00DA7752"/>
    <w:rsid w:val="00DE4E1F"/>
    <w:rsid w:val="00DE50FE"/>
    <w:rsid w:val="00DF6E49"/>
    <w:rsid w:val="00E001F6"/>
    <w:rsid w:val="00E07A90"/>
    <w:rsid w:val="00E36C61"/>
    <w:rsid w:val="00E40067"/>
    <w:rsid w:val="00E4137B"/>
    <w:rsid w:val="00E52F6A"/>
    <w:rsid w:val="00E60550"/>
    <w:rsid w:val="00E7165D"/>
    <w:rsid w:val="00E75C4D"/>
    <w:rsid w:val="00E97367"/>
    <w:rsid w:val="00EA1AFA"/>
    <w:rsid w:val="00EA3995"/>
    <w:rsid w:val="00EA6ABF"/>
    <w:rsid w:val="00EA7963"/>
    <w:rsid w:val="00EB40BF"/>
    <w:rsid w:val="00EC48DF"/>
    <w:rsid w:val="00ED3982"/>
    <w:rsid w:val="00EE1A3B"/>
    <w:rsid w:val="00F12670"/>
    <w:rsid w:val="00F17B01"/>
    <w:rsid w:val="00F36833"/>
    <w:rsid w:val="00F373DD"/>
    <w:rsid w:val="00F4112E"/>
    <w:rsid w:val="00F44F78"/>
    <w:rsid w:val="00F47E88"/>
    <w:rsid w:val="00F9655B"/>
    <w:rsid w:val="00FA76C7"/>
    <w:rsid w:val="00FA7C66"/>
    <w:rsid w:val="00FB361F"/>
    <w:rsid w:val="00FD3344"/>
    <w:rsid w:val="00FD436A"/>
    <w:rsid w:val="00FD5592"/>
    <w:rsid w:val="00FE35B3"/>
    <w:rsid w:val="00FE4F12"/>
    <w:rsid w:val="00FF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0E09"/>
  <w15:docId w15:val="{EC3D5684-777C-473E-AE74-B1C38F0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B93"/>
    <w:rPr>
      <w:sz w:val="24"/>
      <w:szCs w:val="24"/>
    </w:rPr>
  </w:style>
  <w:style w:type="paragraph" w:styleId="Heading1">
    <w:name w:val="heading 1"/>
    <w:basedOn w:val="Normal"/>
    <w:next w:val="Normal"/>
    <w:link w:val="Heading1Char"/>
    <w:uiPriority w:val="9"/>
    <w:qFormat/>
    <w:rsid w:val="00270B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0B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0B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0B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0B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0B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0B93"/>
    <w:pPr>
      <w:spacing w:before="240" w:after="60"/>
      <w:outlineLvl w:val="6"/>
    </w:pPr>
  </w:style>
  <w:style w:type="paragraph" w:styleId="Heading8">
    <w:name w:val="heading 8"/>
    <w:basedOn w:val="Normal"/>
    <w:next w:val="Normal"/>
    <w:link w:val="Heading8Char"/>
    <w:uiPriority w:val="9"/>
    <w:semiHidden/>
    <w:unhideWhenUsed/>
    <w:qFormat/>
    <w:rsid w:val="00270B93"/>
    <w:pPr>
      <w:spacing w:before="240" w:after="60"/>
      <w:outlineLvl w:val="7"/>
    </w:pPr>
    <w:rPr>
      <w:i/>
      <w:iCs/>
    </w:rPr>
  </w:style>
  <w:style w:type="paragraph" w:styleId="Heading9">
    <w:name w:val="heading 9"/>
    <w:basedOn w:val="Normal"/>
    <w:next w:val="Normal"/>
    <w:link w:val="Heading9Char"/>
    <w:uiPriority w:val="9"/>
    <w:semiHidden/>
    <w:unhideWhenUsed/>
    <w:qFormat/>
    <w:rsid w:val="00270B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0B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0B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0B93"/>
    <w:rPr>
      <w:b/>
      <w:bCs/>
      <w:sz w:val="28"/>
      <w:szCs w:val="28"/>
    </w:rPr>
  </w:style>
  <w:style w:type="character" w:customStyle="1" w:styleId="Heading5Char">
    <w:name w:val="Heading 5 Char"/>
    <w:basedOn w:val="DefaultParagraphFont"/>
    <w:link w:val="Heading5"/>
    <w:uiPriority w:val="9"/>
    <w:semiHidden/>
    <w:rsid w:val="00270B93"/>
    <w:rPr>
      <w:b/>
      <w:bCs/>
      <w:i/>
      <w:iCs/>
      <w:sz w:val="26"/>
      <w:szCs w:val="26"/>
    </w:rPr>
  </w:style>
  <w:style w:type="character" w:customStyle="1" w:styleId="Heading6Char">
    <w:name w:val="Heading 6 Char"/>
    <w:basedOn w:val="DefaultParagraphFont"/>
    <w:link w:val="Heading6"/>
    <w:uiPriority w:val="9"/>
    <w:semiHidden/>
    <w:rsid w:val="00270B93"/>
    <w:rPr>
      <w:b/>
      <w:bCs/>
    </w:rPr>
  </w:style>
  <w:style w:type="character" w:customStyle="1" w:styleId="Heading7Char">
    <w:name w:val="Heading 7 Char"/>
    <w:basedOn w:val="DefaultParagraphFont"/>
    <w:link w:val="Heading7"/>
    <w:uiPriority w:val="9"/>
    <w:semiHidden/>
    <w:rsid w:val="00270B93"/>
    <w:rPr>
      <w:sz w:val="24"/>
      <w:szCs w:val="24"/>
    </w:rPr>
  </w:style>
  <w:style w:type="character" w:customStyle="1" w:styleId="Heading8Char">
    <w:name w:val="Heading 8 Char"/>
    <w:basedOn w:val="DefaultParagraphFont"/>
    <w:link w:val="Heading8"/>
    <w:uiPriority w:val="9"/>
    <w:semiHidden/>
    <w:rsid w:val="00270B93"/>
    <w:rPr>
      <w:i/>
      <w:iCs/>
      <w:sz w:val="24"/>
      <w:szCs w:val="24"/>
    </w:rPr>
  </w:style>
  <w:style w:type="character" w:customStyle="1" w:styleId="Heading9Char">
    <w:name w:val="Heading 9 Char"/>
    <w:basedOn w:val="DefaultParagraphFont"/>
    <w:link w:val="Heading9"/>
    <w:uiPriority w:val="9"/>
    <w:semiHidden/>
    <w:rsid w:val="00270B93"/>
    <w:rPr>
      <w:rFonts w:asciiTheme="majorHAnsi" w:eastAsiaTheme="majorEastAsia" w:hAnsiTheme="majorHAnsi"/>
    </w:rPr>
  </w:style>
  <w:style w:type="paragraph" w:styleId="Title">
    <w:name w:val="Title"/>
    <w:basedOn w:val="Normal"/>
    <w:next w:val="Normal"/>
    <w:link w:val="TitleChar"/>
    <w:uiPriority w:val="10"/>
    <w:qFormat/>
    <w:rsid w:val="00270B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0B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0B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0B93"/>
    <w:rPr>
      <w:rFonts w:asciiTheme="majorHAnsi" w:eastAsiaTheme="majorEastAsia" w:hAnsiTheme="majorHAnsi"/>
      <w:sz w:val="24"/>
      <w:szCs w:val="24"/>
    </w:rPr>
  </w:style>
  <w:style w:type="character" w:styleId="Strong">
    <w:name w:val="Strong"/>
    <w:basedOn w:val="DefaultParagraphFont"/>
    <w:uiPriority w:val="22"/>
    <w:qFormat/>
    <w:rsid w:val="00270B93"/>
    <w:rPr>
      <w:b/>
      <w:bCs/>
    </w:rPr>
  </w:style>
  <w:style w:type="character" w:styleId="Emphasis">
    <w:name w:val="Emphasis"/>
    <w:basedOn w:val="DefaultParagraphFont"/>
    <w:uiPriority w:val="20"/>
    <w:qFormat/>
    <w:rsid w:val="00270B93"/>
    <w:rPr>
      <w:rFonts w:asciiTheme="minorHAnsi" w:hAnsiTheme="minorHAnsi"/>
      <w:b/>
      <w:i/>
      <w:iCs/>
    </w:rPr>
  </w:style>
  <w:style w:type="paragraph" w:styleId="NoSpacing">
    <w:name w:val="No Spacing"/>
    <w:basedOn w:val="Normal"/>
    <w:uiPriority w:val="1"/>
    <w:qFormat/>
    <w:rsid w:val="00270B93"/>
    <w:rPr>
      <w:szCs w:val="32"/>
    </w:rPr>
  </w:style>
  <w:style w:type="paragraph" w:styleId="ListParagraph">
    <w:name w:val="List Paragraph"/>
    <w:basedOn w:val="Normal"/>
    <w:uiPriority w:val="34"/>
    <w:qFormat/>
    <w:rsid w:val="00270B93"/>
    <w:pPr>
      <w:ind w:left="720"/>
      <w:contextualSpacing/>
    </w:pPr>
  </w:style>
  <w:style w:type="paragraph" w:styleId="Quote">
    <w:name w:val="Quote"/>
    <w:basedOn w:val="Normal"/>
    <w:next w:val="Normal"/>
    <w:link w:val="QuoteChar"/>
    <w:uiPriority w:val="29"/>
    <w:qFormat/>
    <w:rsid w:val="00270B93"/>
    <w:rPr>
      <w:i/>
    </w:rPr>
  </w:style>
  <w:style w:type="character" w:customStyle="1" w:styleId="QuoteChar">
    <w:name w:val="Quote Char"/>
    <w:basedOn w:val="DefaultParagraphFont"/>
    <w:link w:val="Quote"/>
    <w:uiPriority w:val="29"/>
    <w:rsid w:val="00270B93"/>
    <w:rPr>
      <w:i/>
      <w:sz w:val="24"/>
      <w:szCs w:val="24"/>
    </w:rPr>
  </w:style>
  <w:style w:type="paragraph" w:styleId="IntenseQuote">
    <w:name w:val="Intense Quote"/>
    <w:basedOn w:val="Normal"/>
    <w:next w:val="Normal"/>
    <w:link w:val="IntenseQuoteChar"/>
    <w:uiPriority w:val="30"/>
    <w:qFormat/>
    <w:rsid w:val="00270B93"/>
    <w:pPr>
      <w:ind w:left="720" w:right="720"/>
    </w:pPr>
    <w:rPr>
      <w:b/>
      <w:i/>
      <w:szCs w:val="22"/>
    </w:rPr>
  </w:style>
  <w:style w:type="character" w:customStyle="1" w:styleId="IntenseQuoteChar">
    <w:name w:val="Intense Quote Char"/>
    <w:basedOn w:val="DefaultParagraphFont"/>
    <w:link w:val="IntenseQuote"/>
    <w:uiPriority w:val="30"/>
    <w:rsid w:val="00270B93"/>
    <w:rPr>
      <w:b/>
      <w:i/>
      <w:sz w:val="24"/>
    </w:rPr>
  </w:style>
  <w:style w:type="character" w:styleId="SubtleEmphasis">
    <w:name w:val="Subtle Emphasis"/>
    <w:uiPriority w:val="19"/>
    <w:qFormat/>
    <w:rsid w:val="00270B93"/>
    <w:rPr>
      <w:i/>
      <w:color w:val="5A5A5A" w:themeColor="text1" w:themeTint="A5"/>
    </w:rPr>
  </w:style>
  <w:style w:type="character" w:styleId="IntenseEmphasis">
    <w:name w:val="Intense Emphasis"/>
    <w:basedOn w:val="DefaultParagraphFont"/>
    <w:uiPriority w:val="21"/>
    <w:qFormat/>
    <w:rsid w:val="00270B93"/>
    <w:rPr>
      <w:b/>
      <w:i/>
      <w:sz w:val="24"/>
      <w:szCs w:val="24"/>
      <w:u w:val="single"/>
    </w:rPr>
  </w:style>
  <w:style w:type="character" w:styleId="SubtleReference">
    <w:name w:val="Subtle Reference"/>
    <w:basedOn w:val="DefaultParagraphFont"/>
    <w:uiPriority w:val="31"/>
    <w:qFormat/>
    <w:rsid w:val="00270B93"/>
    <w:rPr>
      <w:sz w:val="24"/>
      <w:szCs w:val="24"/>
      <w:u w:val="single"/>
    </w:rPr>
  </w:style>
  <w:style w:type="character" w:styleId="IntenseReference">
    <w:name w:val="Intense Reference"/>
    <w:basedOn w:val="DefaultParagraphFont"/>
    <w:uiPriority w:val="32"/>
    <w:qFormat/>
    <w:rsid w:val="00270B93"/>
    <w:rPr>
      <w:b/>
      <w:sz w:val="24"/>
      <w:u w:val="single"/>
    </w:rPr>
  </w:style>
  <w:style w:type="character" w:styleId="BookTitle">
    <w:name w:val="Book Title"/>
    <w:basedOn w:val="DefaultParagraphFont"/>
    <w:uiPriority w:val="33"/>
    <w:qFormat/>
    <w:rsid w:val="00270B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0B93"/>
    <w:pPr>
      <w:outlineLvl w:val="9"/>
    </w:pPr>
  </w:style>
  <w:style w:type="paragraph" w:styleId="BalloonText">
    <w:name w:val="Balloon Text"/>
    <w:basedOn w:val="Normal"/>
    <w:link w:val="BalloonTextChar"/>
    <w:uiPriority w:val="99"/>
    <w:semiHidden/>
    <w:unhideWhenUsed/>
    <w:rsid w:val="00B72024"/>
    <w:rPr>
      <w:rFonts w:ascii="Tahoma" w:hAnsi="Tahoma" w:cs="Tahoma"/>
      <w:sz w:val="16"/>
      <w:szCs w:val="16"/>
    </w:rPr>
  </w:style>
  <w:style w:type="character" w:customStyle="1" w:styleId="BalloonTextChar">
    <w:name w:val="Balloon Text Char"/>
    <w:basedOn w:val="DefaultParagraphFont"/>
    <w:link w:val="BalloonText"/>
    <w:uiPriority w:val="99"/>
    <w:semiHidden/>
    <w:rsid w:val="00B72024"/>
    <w:rPr>
      <w:rFonts w:ascii="Tahoma" w:hAnsi="Tahoma" w:cs="Tahoma"/>
      <w:sz w:val="16"/>
      <w:szCs w:val="16"/>
    </w:rPr>
  </w:style>
  <w:style w:type="table" w:styleId="TableGrid">
    <w:name w:val="Table Grid"/>
    <w:basedOn w:val="TableNormal"/>
    <w:uiPriority w:val="59"/>
    <w:rsid w:val="00B6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6785">
      <w:bodyDiv w:val="1"/>
      <w:marLeft w:val="0"/>
      <w:marRight w:val="0"/>
      <w:marTop w:val="0"/>
      <w:marBottom w:val="0"/>
      <w:divBdr>
        <w:top w:val="none" w:sz="0" w:space="0" w:color="auto"/>
        <w:left w:val="none" w:sz="0" w:space="0" w:color="auto"/>
        <w:bottom w:val="none" w:sz="0" w:space="0" w:color="auto"/>
        <w:right w:val="none" w:sz="0" w:space="0" w:color="auto"/>
      </w:divBdr>
    </w:div>
    <w:div w:id="1019893934">
      <w:bodyDiv w:val="1"/>
      <w:marLeft w:val="0"/>
      <w:marRight w:val="0"/>
      <w:marTop w:val="0"/>
      <w:marBottom w:val="0"/>
      <w:divBdr>
        <w:top w:val="none" w:sz="0" w:space="0" w:color="auto"/>
        <w:left w:val="none" w:sz="0" w:space="0" w:color="auto"/>
        <w:bottom w:val="none" w:sz="0" w:space="0" w:color="auto"/>
        <w:right w:val="none" w:sz="0" w:space="0" w:color="auto"/>
      </w:divBdr>
    </w:div>
    <w:div w:id="14391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ksft</dc:creator>
  <cp:lastModifiedBy>Kyle Fisheries</cp:lastModifiedBy>
  <cp:revision>2</cp:revision>
  <cp:lastPrinted>2019-09-26T10:42:00Z</cp:lastPrinted>
  <dcterms:created xsi:type="dcterms:W3CDTF">2019-10-08T10:37:00Z</dcterms:created>
  <dcterms:modified xsi:type="dcterms:W3CDTF">2019-10-08T10:37:00Z</dcterms:modified>
</cp:coreProperties>
</file>